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78" w:rsidRPr="00684771" w:rsidRDefault="002C6D78" w:rsidP="00321A0B">
      <w:pPr>
        <w:spacing w:after="0" w:line="220" w:lineRule="exact"/>
        <w:ind w:right="57" w:firstLine="57"/>
        <w:outlineLvl w:val="0"/>
        <w:rPr>
          <w:spacing w:val="-14"/>
          <w:w w:val="80"/>
          <w:lang w:val="en-US"/>
        </w:rPr>
      </w:pPr>
    </w:p>
    <w:p w:rsidR="00921F05" w:rsidRDefault="00921F05" w:rsidP="009912BE">
      <w:pPr>
        <w:spacing w:after="0" w:line="220" w:lineRule="exact"/>
        <w:ind w:right="57" w:firstLine="57"/>
        <w:jc w:val="center"/>
        <w:outlineLvl w:val="0"/>
        <w:rPr>
          <w:spacing w:val="-14"/>
          <w:w w:val="80"/>
          <w:sz w:val="24"/>
          <w:szCs w:val="24"/>
        </w:rPr>
      </w:pPr>
    </w:p>
    <w:p w:rsidR="00EB53B4" w:rsidRDefault="00EB53B4" w:rsidP="009912BE">
      <w:pPr>
        <w:spacing w:after="0" w:line="220" w:lineRule="exact"/>
        <w:ind w:right="57" w:firstLine="57"/>
        <w:jc w:val="center"/>
        <w:outlineLvl w:val="0"/>
        <w:rPr>
          <w:spacing w:val="-14"/>
          <w:w w:val="80"/>
          <w:sz w:val="24"/>
          <w:szCs w:val="24"/>
        </w:rPr>
      </w:pPr>
    </w:p>
    <w:p w:rsidR="000B7B09" w:rsidRDefault="000B7B09" w:rsidP="009912BE">
      <w:pPr>
        <w:spacing w:after="0" w:line="220" w:lineRule="exact"/>
        <w:ind w:right="57" w:firstLine="57"/>
        <w:jc w:val="center"/>
        <w:outlineLvl w:val="0"/>
        <w:rPr>
          <w:spacing w:val="-14"/>
          <w:w w:val="80"/>
          <w:sz w:val="24"/>
          <w:szCs w:val="24"/>
        </w:rPr>
      </w:pPr>
    </w:p>
    <w:p w:rsidR="00EB53B4" w:rsidRPr="00921F05" w:rsidRDefault="00EB53B4" w:rsidP="009912BE">
      <w:pPr>
        <w:spacing w:after="0" w:line="220" w:lineRule="exact"/>
        <w:ind w:right="57" w:firstLine="57"/>
        <w:jc w:val="center"/>
        <w:outlineLvl w:val="0"/>
        <w:rPr>
          <w:spacing w:val="-14"/>
          <w:w w:val="80"/>
          <w:sz w:val="24"/>
          <w:szCs w:val="24"/>
        </w:rPr>
      </w:pPr>
    </w:p>
    <w:p w:rsidR="00FB1B6F" w:rsidRPr="007B2D92" w:rsidRDefault="00FB1B6F" w:rsidP="009912BE">
      <w:pPr>
        <w:spacing w:after="0" w:line="220" w:lineRule="exact"/>
        <w:ind w:right="57" w:firstLine="57"/>
        <w:jc w:val="center"/>
        <w:outlineLvl w:val="0"/>
        <w:rPr>
          <w:spacing w:val="-14"/>
          <w:w w:val="80"/>
          <w:sz w:val="24"/>
          <w:szCs w:val="24"/>
        </w:rPr>
      </w:pPr>
    </w:p>
    <w:tbl>
      <w:tblPr>
        <w:tblpPr w:leftFromText="180" w:rightFromText="180" w:vertAnchor="page" w:horzAnchor="margin" w:tblpY="2627"/>
        <w:tblW w:w="103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0348"/>
      </w:tblGrid>
      <w:tr w:rsidR="00FB1B6F" w:rsidRPr="007B2D92" w:rsidTr="00E865F2">
        <w:trPr>
          <w:trHeight w:val="142"/>
        </w:trPr>
        <w:tc>
          <w:tcPr>
            <w:tcW w:w="10348" w:type="dxa"/>
            <w:shd w:val="clear" w:color="auto" w:fill="auto"/>
          </w:tcPr>
          <w:p w:rsidR="00FB1B6F" w:rsidRPr="007B2D92" w:rsidRDefault="00FB1B6F" w:rsidP="00E865F2">
            <w:pPr>
              <w:spacing w:after="0" w:line="220" w:lineRule="exact"/>
              <w:ind w:right="57" w:firstLine="57"/>
              <w:jc w:val="center"/>
              <w:outlineLvl w:val="0"/>
              <w:rPr>
                <w:rFonts w:cs="Arial"/>
                <w:b/>
                <w:color w:val="00B0F0"/>
                <w:spacing w:val="-14"/>
                <w:w w:val="80"/>
                <w:sz w:val="24"/>
                <w:szCs w:val="24"/>
                <w:lang w:val="en-US"/>
              </w:rPr>
            </w:pPr>
          </w:p>
        </w:tc>
      </w:tr>
      <w:tr w:rsidR="00FB1B6F" w:rsidRPr="0014070A" w:rsidTr="00E865F2">
        <w:trPr>
          <w:trHeight w:val="215"/>
        </w:trPr>
        <w:tc>
          <w:tcPr>
            <w:tcW w:w="10348" w:type="dxa"/>
            <w:shd w:val="clear" w:color="auto" w:fill="auto"/>
          </w:tcPr>
          <w:tbl>
            <w:tblPr>
              <w:tblW w:w="10348" w:type="dxa"/>
              <w:tblLayout w:type="fixed"/>
              <w:tblLook w:val="0000"/>
            </w:tblPr>
            <w:tblGrid>
              <w:gridCol w:w="10348"/>
            </w:tblGrid>
            <w:tr w:rsidR="0014070A" w:rsidRPr="0014070A" w:rsidTr="0014070A">
              <w:trPr>
                <w:trHeight w:val="841"/>
              </w:trPr>
              <w:tc>
                <w:tcPr>
                  <w:tcW w:w="10348" w:type="dxa"/>
                  <w:shd w:val="clear" w:color="auto" w:fill="auto"/>
                </w:tcPr>
                <w:p w:rsidR="0014070A" w:rsidRPr="0014070A" w:rsidRDefault="008D07FF" w:rsidP="0014070A">
                  <w:pPr>
                    <w:framePr w:hSpace="180" w:wrap="around" w:vAnchor="page" w:hAnchor="margin" w:y="2627"/>
                    <w:jc w:val="center"/>
                    <w:rPr>
                      <w:rFonts w:cs="Arial"/>
                      <w:b/>
                      <w:color w:val="00B0F0"/>
                      <w:sz w:val="28"/>
                      <w:szCs w:val="28"/>
                      <w:lang w:val="en-US"/>
                    </w:rPr>
                  </w:pPr>
                  <w:r>
                    <w:rPr>
                      <w:rFonts w:cs="Arial"/>
                      <w:noProof/>
                      <w:color w:val="00B0F0"/>
                      <w:sz w:val="28"/>
                      <w:szCs w:val="28"/>
                      <w:lang w:eastAsia="el-GR"/>
                    </w:rPr>
                    <w:drawing>
                      <wp:inline distT="0" distB="0" distL="0" distR="0">
                        <wp:extent cx="554990" cy="541655"/>
                        <wp:effectExtent l="19050" t="0" r="0" b="0"/>
                        <wp:docPr id="1" name="Picture 1" descr="Description: 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εθνοσημο εγχρωμο μεγαλο"/>
                                <pic:cNvPicPr>
                                  <a:picLocks noChangeAspect="1" noChangeArrowheads="1"/>
                                </pic:cNvPicPr>
                              </pic:nvPicPr>
                              <pic:blipFill>
                                <a:blip r:embed="rId8" cstate="print"/>
                                <a:srcRect/>
                                <a:stretch>
                                  <a:fillRect/>
                                </a:stretch>
                              </pic:blipFill>
                              <pic:spPr bwMode="auto">
                                <a:xfrm>
                                  <a:off x="0" y="0"/>
                                  <a:ext cx="554990" cy="541655"/>
                                </a:xfrm>
                                <a:prstGeom prst="rect">
                                  <a:avLst/>
                                </a:prstGeom>
                                <a:noFill/>
                                <a:ln w="9525">
                                  <a:noFill/>
                                  <a:miter lim="800000"/>
                                  <a:headEnd/>
                                  <a:tailEnd/>
                                </a:ln>
                              </pic:spPr>
                            </pic:pic>
                          </a:graphicData>
                        </a:graphic>
                      </wp:inline>
                    </w:drawing>
                  </w:r>
                </w:p>
              </w:tc>
            </w:tr>
          </w:tbl>
          <w:p w:rsidR="00921F05" w:rsidRPr="0014070A" w:rsidRDefault="00921F05" w:rsidP="00E865F2">
            <w:pPr>
              <w:spacing w:after="0" w:line="220" w:lineRule="exact"/>
              <w:ind w:left="720" w:right="57" w:firstLine="57"/>
              <w:jc w:val="center"/>
              <w:outlineLvl w:val="0"/>
              <w:rPr>
                <w:rFonts w:cs="Arial"/>
                <w:b/>
                <w:color w:val="0070C0"/>
                <w:spacing w:val="-14"/>
                <w:w w:val="80"/>
                <w:sz w:val="28"/>
                <w:szCs w:val="28"/>
              </w:rPr>
            </w:pPr>
          </w:p>
          <w:p w:rsidR="00FB1B6F" w:rsidRPr="0014070A" w:rsidRDefault="001565AB" w:rsidP="0014070A">
            <w:pPr>
              <w:spacing w:after="0" w:line="220" w:lineRule="exact"/>
              <w:ind w:left="720" w:right="57" w:firstLine="57"/>
              <w:outlineLvl w:val="0"/>
              <w:rPr>
                <w:rFonts w:cs="Arial"/>
                <w:b/>
                <w:color w:val="0070C0"/>
                <w:spacing w:val="-14"/>
                <w:w w:val="80"/>
                <w:sz w:val="28"/>
                <w:szCs w:val="28"/>
              </w:rPr>
            </w:pPr>
            <w:r w:rsidRPr="0014070A">
              <w:rPr>
                <w:rFonts w:cs="Arial"/>
                <w:b/>
                <w:color w:val="0070C0"/>
                <w:spacing w:val="-14"/>
                <w:w w:val="80"/>
                <w:sz w:val="28"/>
                <w:szCs w:val="28"/>
              </w:rPr>
              <w:t xml:space="preserve">                                                                              </w:t>
            </w:r>
            <w:r w:rsidR="0014070A">
              <w:rPr>
                <w:rFonts w:cs="Arial"/>
                <w:b/>
                <w:color w:val="0070C0"/>
                <w:spacing w:val="-14"/>
                <w:w w:val="80"/>
                <w:sz w:val="28"/>
                <w:szCs w:val="28"/>
              </w:rPr>
              <w:t xml:space="preserve">   </w:t>
            </w:r>
            <w:r w:rsidR="007C23FB">
              <w:rPr>
                <w:rFonts w:cs="Arial"/>
                <w:b/>
                <w:color w:val="0070C0"/>
                <w:spacing w:val="-14"/>
                <w:w w:val="80"/>
                <w:sz w:val="28"/>
                <w:szCs w:val="28"/>
              </w:rPr>
              <w:t>ΠΡΕΣΒΕΙΑ ΤΗΣ ΕΛΛΑΔΑΣ ΣΤΗ ΛΕΥΚΩΣΙΑ</w:t>
            </w:r>
          </w:p>
          <w:p w:rsidR="00FB1B6F" w:rsidRPr="0014070A" w:rsidRDefault="001565AB" w:rsidP="00E865F2">
            <w:pPr>
              <w:spacing w:after="0" w:line="220" w:lineRule="exact"/>
              <w:ind w:right="57" w:firstLine="57"/>
              <w:jc w:val="center"/>
              <w:outlineLvl w:val="0"/>
              <w:rPr>
                <w:rFonts w:cs="Arial"/>
                <w:color w:val="0070C0"/>
                <w:spacing w:val="-14"/>
                <w:w w:val="80"/>
                <w:sz w:val="28"/>
                <w:szCs w:val="28"/>
              </w:rPr>
            </w:pPr>
            <w:r w:rsidRPr="0014070A">
              <w:rPr>
                <w:rFonts w:cs="Arial"/>
                <w:b/>
                <w:color w:val="0070C0"/>
                <w:spacing w:val="-14"/>
                <w:w w:val="80"/>
                <w:sz w:val="28"/>
                <w:szCs w:val="28"/>
              </w:rPr>
              <w:t xml:space="preserve">       </w:t>
            </w:r>
            <w:r w:rsidR="00FB1B6F" w:rsidRPr="0014070A">
              <w:rPr>
                <w:rFonts w:cs="Arial"/>
                <w:b/>
                <w:color w:val="0070C0"/>
                <w:spacing w:val="-14"/>
                <w:w w:val="80"/>
                <w:sz w:val="28"/>
                <w:szCs w:val="28"/>
              </w:rPr>
              <w:t>ΓΡΑΦΕΙΟ ΟΙΚΟΝΟΜΙΚΩΝ ΚΑΙ ΕΜΠΟΡΙΚΩΝ ΥΠΟΘΕΣΕΩΝ</w:t>
            </w:r>
          </w:p>
        </w:tc>
      </w:tr>
    </w:tbl>
    <w:p w:rsidR="00632932" w:rsidRPr="0014070A" w:rsidRDefault="00632932" w:rsidP="009912BE">
      <w:pPr>
        <w:spacing w:after="0" w:line="220" w:lineRule="exact"/>
        <w:ind w:right="57" w:firstLine="57"/>
        <w:jc w:val="center"/>
        <w:outlineLvl w:val="0"/>
        <w:rPr>
          <w:rFonts w:cs="Arial"/>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color w:val="0070C0"/>
          <w:spacing w:val="-14"/>
          <w:w w:val="80"/>
          <w:sz w:val="28"/>
          <w:szCs w:val="28"/>
        </w:rPr>
      </w:pPr>
    </w:p>
    <w:p w:rsidR="00632932" w:rsidRPr="0014070A" w:rsidRDefault="00632932" w:rsidP="009912BE">
      <w:pPr>
        <w:spacing w:after="0" w:line="220" w:lineRule="exact"/>
        <w:ind w:right="57" w:firstLine="57"/>
        <w:jc w:val="center"/>
        <w:outlineLvl w:val="0"/>
        <w:rPr>
          <w:rFonts w:cs="Arial"/>
          <w:color w:val="0070C0"/>
          <w:spacing w:val="-14"/>
          <w:w w:val="80"/>
          <w:sz w:val="28"/>
          <w:szCs w:val="28"/>
        </w:rPr>
      </w:pPr>
    </w:p>
    <w:p w:rsidR="00632932" w:rsidRPr="0014070A" w:rsidRDefault="00632932" w:rsidP="009912BE">
      <w:pPr>
        <w:spacing w:after="0" w:line="220" w:lineRule="exact"/>
        <w:ind w:right="57" w:firstLine="57"/>
        <w:jc w:val="center"/>
        <w:outlineLvl w:val="0"/>
        <w:rPr>
          <w:rFonts w:cs="Arial"/>
          <w:color w:val="0070C0"/>
          <w:spacing w:val="-14"/>
          <w:w w:val="80"/>
          <w:sz w:val="28"/>
          <w:szCs w:val="28"/>
        </w:rPr>
      </w:pPr>
    </w:p>
    <w:p w:rsidR="00632932" w:rsidRPr="0014070A" w:rsidRDefault="009912BE" w:rsidP="009912BE">
      <w:pPr>
        <w:spacing w:after="0" w:line="220" w:lineRule="exact"/>
        <w:ind w:right="57" w:firstLine="57"/>
        <w:jc w:val="center"/>
        <w:outlineLvl w:val="0"/>
        <w:rPr>
          <w:rFonts w:cs="Arial"/>
          <w:b/>
          <w:color w:val="0070C0"/>
          <w:spacing w:val="-14"/>
          <w:w w:val="80"/>
          <w:sz w:val="28"/>
          <w:szCs w:val="28"/>
        </w:rPr>
      </w:pPr>
      <w:r w:rsidRPr="0014070A">
        <w:rPr>
          <w:rFonts w:cs="Arial"/>
          <w:b/>
          <w:color w:val="0070C0"/>
          <w:spacing w:val="-14"/>
          <w:w w:val="80"/>
          <w:sz w:val="28"/>
          <w:szCs w:val="28"/>
        </w:rPr>
        <w:t xml:space="preserve">                      </w:t>
      </w:r>
      <w:r w:rsidR="00632932" w:rsidRPr="0014070A">
        <w:rPr>
          <w:rFonts w:cs="Arial"/>
          <w:b/>
          <w:color w:val="0070C0"/>
          <w:spacing w:val="-14"/>
          <w:w w:val="80"/>
          <w:sz w:val="28"/>
          <w:szCs w:val="28"/>
          <w:lang w:val="en-US"/>
        </w:rPr>
        <w:t>E</w:t>
      </w:r>
      <w:r w:rsidR="0002186D" w:rsidRPr="0002186D">
        <w:rPr>
          <w:rFonts w:cs="Arial"/>
          <w:b/>
          <w:noProof/>
          <w:color w:val="0070C0"/>
          <w:spacing w:val="-14"/>
          <w:w w:val="80"/>
          <w:sz w:val="28"/>
          <w:szCs w:val="28"/>
          <w:lang w:eastAsia="el-GR"/>
        </w:rPr>
        <w:pict>
          <v:group id="docshapegroup9" o:spid="_x0000_s1026" style="position:absolute;left:0;text-align:left;margin-left:48.15pt;margin-top:0;width:498.6pt;height:841.95pt;z-index:-251658240;mso-position-horizontal-relative:page;mso-position-vertical-relative:page" coordorigin="963" coordsize="9972,16839">
            <v:rect id="docshape10" o:spid="_x0000_s1027" style="position:absolute;left:971;top:16;width:9957;height:1280" fillcolor="#4f81bc" stroked="f"/>
            <v:rect id="docshape11" o:spid="_x0000_s1028" style="position:absolute;left:971;top:15554;width:9957;height:1268" fillcolor="#94b3d6" stroked="f"/>
            <v:shape id="docshape12" o:spid="_x0000_s1029" style="position:absolute;left:971;top:15554;width:9957;height:1268" coordorigin="971,15554" coordsize="9957,1268" o:spt="100" adj="0,,0" path="m971,16822r9957,m971,15554r9957,e" filled="f" strokecolor="#30849b">
              <v:stroke joinstyle="round"/>
              <v:formulas/>
              <v:path arrowok="t" o:connecttype="segments"/>
            </v:shape>
            <v:line id="_x0000_s1030" style="position:absolute" from="10928,0" to="10928,16838" strokecolor="#1f487c"/>
            <v:line id="_x0000_s1031" style="position:absolute" from="971,16838" to="971,0" strokecolor="#365f91"/>
            <w10:wrap anchorx="page" anchory="page"/>
          </v:group>
        </w:pict>
      </w:r>
      <w:r w:rsidR="00632932" w:rsidRPr="0014070A">
        <w:rPr>
          <w:rFonts w:cs="Arial"/>
          <w:b/>
          <w:color w:val="0070C0"/>
          <w:spacing w:val="-14"/>
          <w:w w:val="80"/>
          <w:sz w:val="28"/>
          <w:szCs w:val="28"/>
        </w:rPr>
        <w:t>ΠΙΣΚΟΠΗΣΗ ΟΙΚΟΝΟΜΙΚΩΝ ΕΞΕΛΙΞΕΩΝ</w:t>
      </w:r>
    </w:p>
    <w:p w:rsidR="00FB1B6F" w:rsidRPr="0014070A" w:rsidRDefault="009912BE" w:rsidP="009912BE">
      <w:pPr>
        <w:spacing w:after="0" w:line="220" w:lineRule="exact"/>
        <w:ind w:right="57" w:firstLine="57"/>
        <w:jc w:val="center"/>
        <w:outlineLvl w:val="0"/>
        <w:rPr>
          <w:rFonts w:cs="Arial"/>
          <w:b/>
          <w:color w:val="0070C0"/>
          <w:spacing w:val="-14"/>
          <w:w w:val="80"/>
          <w:sz w:val="28"/>
          <w:szCs w:val="28"/>
        </w:rPr>
      </w:pPr>
      <w:r w:rsidRPr="0014070A">
        <w:rPr>
          <w:rFonts w:cs="Arial"/>
          <w:b/>
          <w:color w:val="0070C0"/>
          <w:spacing w:val="-14"/>
          <w:w w:val="80"/>
          <w:sz w:val="28"/>
          <w:szCs w:val="28"/>
        </w:rPr>
        <w:t xml:space="preserve">      </w:t>
      </w:r>
      <w:r w:rsidR="001565AB" w:rsidRPr="0014070A">
        <w:rPr>
          <w:rFonts w:cs="Arial"/>
          <w:b/>
          <w:color w:val="0070C0"/>
          <w:spacing w:val="-14"/>
          <w:w w:val="80"/>
          <w:sz w:val="28"/>
          <w:szCs w:val="28"/>
        </w:rPr>
        <w:t xml:space="preserve">      </w:t>
      </w:r>
      <w:r w:rsidRPr="0014070A">
        <w:rPr>
          <w:rFonts w:cs="Arial"/>
          <w:b/>
          <w:color w:val="0070C0"/>
          <w:spacing w:val="-14"/>
          <w:w w:val="80"/>
          <w:sz w:val="28"/>
          <w:szCs w:val="28"/>
        </w:rPr>
        <w:t xml:space="preserve"> </w:t>
      </w:r>
      <w:r w:rsidR="001565AB" w:rsidRPr="0014070A">
        <w:rPr>
          <w:rFonts w:cs="Arial"/>
          <w:b/>
          <w:color w:val="0070C0"/>
          <w:spacing w:val="-14"/>
          <w:w w:val="80"/>
          <w:sz w:val="28"/>
          <w:szCs w:val="28"/>
        </w:rPr>
        <w:t xml:space="preserve">   ΙΙΑΝΟΥΑΡΙΟΥ – ΦΕΒΡΟΥΡΙΟΥ – ΜΑΡΤΙΟΥ – ΑΠΡΙΛΙΟΥ 2024</w:t>
      </w:r>
    </w:p>
    <w:p w:rsidR="00021111" w:rsidRPr="0014070A" w:rsidRDefault="00021111" w:rsidP="009912BE">
      <w:pPr>
        <w:spacing w:after="0" w:line="220" w:lineRule="exact"/>
        <w:ind w:right="57" w:firstLine="57"/>
        <w:jc w:val="center"/>
        <w:outlineLvl w:val="0"/>
        <w:rPr>
          <w:rFonts w:cs="Arial"/>
          <w:b/>
          <w:color w:val="0070C0"/>
          <w:spacing w:val="-14"/>
          <w:w w:val="80"/>
          <w:sz w:val="28"/>
          <w:szCs w:val="28"/>
        </w:rPr>
      </w:pPr>
    </w:p>
    <w:p w:rsidR="006944E8" w:rsidRPr="0014070A" w:rsidRDefault="006944E8" w:rsidP="009912BE">
      <w:pPr>
        <w:spacing w:after="0" w:line="220" w:lineRule="exact"/>
        <w:ind w:right="57" w:firstLine="57"/>
        <w:jc w:val="center"/>
        <w:outlineLvl w:val="0"/>
        <w:rPr>
          <w:rFonts w:cs="Arial"/>
          <w:b/>
          <w:color w:val="0070C0"/>
          <w:spacing w:val="-14"/>
          <w:w w:val="80"/>
          <w:sz w:val="28"/>
          <w:szCs w:val="28"/>
        </w:rPr>
      </w:pPr>
    </w:p>
    <w:p w:rsidR="006944E8" w:rsidRPr="0014070A" w:rsidRDefault="006944E8" w:rsidP="009912BE">
      <w:pPr>
        <w:spacing w:after="0" w:line="220" w:lineRule="exact"/>
        <w:ind w:right="57" w:firstLine="57"/>
        <w:jc w:val="center"/>
        <w:outlineLvl w:val="0"/>
        <w:rPr>
          <w:rFonts w:cs="Arial"/>
          <w:b/>
          <w:color w:val="0070C0"/>
          <w:spacing w:val="-14"/>
          <w:w w:val="80"/>
          <w:sz w:val="28"/>
          <w:szCs w:val="28"/>
        </w:rPr>
      </w:pPr>
    </w:p>
    <w:p w:rsidR="006944E8" w:rsidRPr="0014070A" w:rsidRDefault="006944E8"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005CF" w:rsidRPr="0014070A" w:rsidRDefault="009912BE" w:rsidP="009912BE">
      <w:pPr>
        <w:spacing w:after="0" w:line="220" w:lineRule="exact"/>
        <w:ind w:right="57"/>
        <w:jc w:val="center"/>
        <w:outlineLvl w:val="0"/>
        <w:rPr>
          <w:rFonts w:cs="Arial"/>
          <w:b/>
          <w:color w:val="0070C0"/>
          <w:spacing w:val="-14"/>
          <w:w w:val="80"/>
          <w:sz w:val="28"/>
          <w:szCs w:val="28"/>
        </w:rPr>
      </w:pPr>
      <w:r w:rsidRPr="0014070A">
        <w:rPr>
          <w:rFonts w:cs="Arial"/>
          <w:b/>
          <w:color w:val="0070C0"/>
          <w:spacing w:val="-14"/>
          <w:w w:val="80"/>
          <w:sz w:val="28"/>
          <w:szCs w:val="28"/>
        </w:rPr>
        <w:t xml:space="preserve">             </w:t>
      </w:r>
      <w:r w:rsidR="00A005CF" w:rsidRPr="0014070A">
        <w:rPr>
          <w:rFonts w:cs="Arial"/>
          <w:b/>
          <w:color w:val="0070C0"/>
          <w:spacing w:val="-14"/>
          <w:w w:val="80"/>
          <w:sz w:val="28"/>
          <w:szCs w:val="28"/>
        </w:rPr>
        <w:t xml:space="preserve">ΕΠΙΜΕΛΕΙΑ </w:t>
      </w:r>
      <w:r w:rsidR="001565AB" w:rsidRPr="0014070A">
        <w:rPr>
          <w:rFonts w:cs="Arial"/>
          <w:b/>
          <w:color w:val="0070C0"/>
          <w:spacing w:val="-14"/>
          <w:w w:val="80"/>
          <w:sz w:val="28"/>
          <w:szCs w:val="28"/>
        </w:rPr>
        <w:t xml:space="preserve">- </w:t>
      </w:r>
      <w:r w:rsidR="00A005CF" w:rsidRPr="0014070A">
        <w:rPr>
          <w:rFonts w:cs="Arial"/>
          <w:b/>
          <w:color w:val="0070C0"/>
          <w:spacing w:val="-14"/>
          <w:w w:val="80"/>
          <w:sz w:val="28"/>
          <w:szCs w:val="28"/>
        </w:rPr>
        <w:t>ΣΥΝΤΑΞΗ</w:t>
      </w: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A46B2C" w:rsidRPr="0014070A" w:rsidRDefault="00A46B2C" w:rsidP="009912BE">
      <w:pPr>
        <w:spacing w:after="0" w:line="220" w:lineRule="exact"/>
        <w:ind w:right="57" w:firstLine="57"/>
        <w:jc w:val="center"/>
        <w:outlineLvl w:val="0"/>
        <w:rPr>
          <w:rFonts w:cs="Arial"/>
          <w:b/>
          <w:color w:val="0070C0"/>
          <w:spacing w:val="-14"/>
          <w:w w:val="80"/>
          <w:sz w:val="28"/>
          <w:szCs w:val="28"/>
        </w:rPr>
      </w:pPr>
    </w:p>
    <w:p w:rsidR="00EB53B4" w:rsidRPr="0014070A" w:rsidRDefault="00EB53B4"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9912BE" w:rsidRPr="0014070A" w:rsidRDefault="009912BE" w:rsidP="009912BE">
      <w:pPr>
        <w:spacing w:after="0" w:line="220" w:lineRule="exact"/>
        <w:ind w:right="57" w:firstLine="57"/>
        <w:jc w:val="center"/>
        <w:outlineLvl w:val="0"/>
        <w:rPr>
          <w:rFonts w:cs="Arial"/>
          <w:b/>
          <w:color w:val="0070C0"/>
          <w:spacing w:val="-14"/>
          <w:w w:val="80"/>
          <w:sz w:val="28"/>
          <w:szCs w:val="28"/>
        </w:rPr>
      </w:pPr>
    </w:p>
    <w:p w:rsidR="00EB53B4" w:rsidRPr="0014070A" w:rsidRDefault="00EB53B4" w:rsidP="009912BE">
      <w:pPr>
        <w:spacing w:after="0" w:line="220" w:lineRule="exact"/>
        <w:ind w:right="57" w:firstLine="57"/>
        <w:jc w:val="center"/>
        <w:outlineLvl w:val="0"/>
        <w:rPr>
          <w:rFonts w:cs="Arial"/>
          <w:b/>
          <w:color w:val="0070C0"/>
          <w:spacing w:val="-14"/>
          <w:w w:val="80"/>
          <w:sz w:val="28"/>
          <w:szCs w:val="28"/>
        </w:rPr>
      </w:pPr>
    </w:p>
    <w:p w:rsidR="00021111" w:rsidRPr="0014070A" w:rsidRDefault="00021111" w:rsidP="009912BE">
      <w:pPr>
        <w:spacing w:after="0" w:line="220" w:lineRule="exact"/>
        <w:ind w:right="57" w:firstLine="57"/>
        <w:jc w:val="center"/>
        <w:outlineLvl w:val="0"/>
        <w:rPr>
          <w:rFonts w:cs="Arial"/>
          <w:b/>
          <w:color w:val="0070C0"/>
          <w:spacing w:val="-14"/>
          <w:w w:val="80"/>
          <w:sz w:val="28"/>
          <w:szCs w:val="28"/>
        </w:rPr>
      </w:pPr>
    </w:p>
    <w:p w:rsidR="00021111" w:rsidRPr="0014070A" w:rsidRDefault="001565AB" w:rsidP="001565AB">
      <w:pPr>
        <w:spacing w:after="0" w:line="220" w:lineRule="exact"/>
        <w:ind w:right="57"/>
        <w:outlineLvl w:val="0"/>
        <w:rPr>
          <w:rFonts w:cs="Arial"/>
          <w:b/>
          <w:color w:val="0070C0"/>
          <w:spacing w:val="-14"/>
          <w:w w:val="80"/>
          <w:sz w:val="28"/>
          <w:szCs w:val="28"/>
        </w:rPr>
      </w:pPr>
      <w:r w:rsidRPr="0014070A">
        <w:rPr>
          <w:rFonts w:cs="Arial"/>
          <w:b/>
          <w:color w:val="0070C0"/>
          <w:spacing w:val="-14"/>
          <w:w w:val="80"/>
          <w:sz w:val="28"/>
          <w:szCs w:val="28"/>
        </w:rPr>
        <w:t xml:space="preserve">                   </w:t>
      </w:r>
      <w:r w:rsidR="0014070A">
        <w:rPr>
          <w:rFonts w:cs="Arial"/>
          <w:b/>
          <w:color w:val="0070C0"/>
          <w:spacing w:val="-14"/>
          <w:w w:val="80"/>
          <w:sz w:val="28"/>
          <w:szCs w:val="28"/>
        </w:rPr>
        <w:t xml:space="preserve">         </w:t>
      </w:r>
      <w:r w:rsidR="00317DAA" w:rsidRPr="00317DAA">
        <w:rPr>
          <w:rFonts w:cs="Arial"/>
          <w:b/>
          <w:color w:val="0070C0"/>
          <w:spacing w:val="-14"/>
          <w:w w:val="80"/>
          <w:sz w:val="28"/>
          <w:szCs w:val="28"/>
        </w:rPr>
        <w:t xml:space="preserve">  </w:t>
      </w:r>
      <w:r w:rsidRPr="0014070A">
        <w:rPr>
          <w:rFonts w:cs="Arial"/>
          <w:b/>
          <w:color w:val="0070C0"/>
          <w:spacing w:val="-14"/>
          <w:w w:val="80"/>
          <w:sz w:val="28"/>
          <w:szCs w:val="28"/>
        </w:rPr>
        <w:t xml:space="preserve"> </w:t>
      </w:r>
      <w:r w:rsidR="00D53464" w:rsidRPr="007C23FB">
        <w:rPr>
          <w:rFonts w:cs="Arial"/>
          <w:b/>
          <w:color w:val="0070C0"/>
          <w:spacing w:val="-14"/>
          <w:w w:val="80"/>
          <w:sz w:val="28"/>
          <w:szCs w:val="28"/>
        </w:rPr>
        <w:tab/>
      </w:r>
      <w:r w:rsidR="00D53464" w:rsidRPr="007C23FB">
        <w:rPr>
          <w:rFonts w:cs="Arial"/>
          <w:b/>
          <w:color w:val="0070C0"/>
          <w:spacing w:val="-14"/>
          <w:w w:val="80"/>
          <w:sz w:val="28"/>
          <w:szCs w:val="28"/>
        </w:rPr>
        <w:tab/>
      </w:r>
      <w:r w:rsidR="00D53464" w:rsidRPr="007C23FB">
        <w:rPr>
          <w:rFonts w:cs="Arial"/>
          <w:b/>
          <w:color w:val="0070C0"/>
          <w:spacing w:val="-14"/>
          <w:w w:val="80"/>
          <w:sz w:val="28"/>
          <w:szCs w:val="28"/>
        </w:rPr>
        <w:tab/>
      </w:r>
      <w:r w:rsidR="00D53464" w:rsidRPr="007C23FB">
        <w:rPr>
          <w:rFonts w:cs="Arial"/>
          <w:b/>
          <w:color w:val="0070C0"/>
          <w:spacing w:val="-14"/>
          <w:w w:val="80"/>
          <w:sz w:val="28"/>
          <w:szCs w:val="28"/>
        </w:rPr>
        <w:tab/>
      </w:r>
      <w:r w:rsidR="00D53464" w:rsidRPr="007C23FB">
        <w:rPr>
          <w:rFonts w:cs="Arial"/>
          <w:b/>
          <w:color w:val="0070C0"/>
          <w:spacing w:val="-14"/>
          <w:w w:val="80"/>
          <w:sz w:val="28"/>
          <w:szCs w:val="28"/>
        </w:rPr>
        <w:tab/>
      </w:r>
      <w:r w:rsidR="00D53464" w:rsidRPr="00D53464">
        <w:rPr>
          <w:rFonts w:cs="Arial"/>
          <w:b/>
          <w:color w:val="0070C0"/>
          <w:spacing w:val="-14"/>
          <w:w w:val="80"/>
          <w:sz w:val="28"/>
          <w:szCs w:val="28"/>
        </w:rPr>
        <w:t xml:space="preserve">       </w:t>
      </w:r>
      <w:r w:rsidRPr="0014070A">
        <w:rPr>
          <w:rFonts w:cs="Arial"/>
          <w:b/>
          <w:color w:val="0070C0"/>
          <w:spacing w:val="-14"/>
          <w:w w:val="80"/>
          <w:sz w:val="28"/>
          <w:szCs w:val="28"/>
        </w:rPr>
        <w:t>Ι</w:t>
      </w:r>
      <w:r w:rsidR="00D53464" w:rsidRPr="00D53464">
        <w:rPr>
          <w:rFonts w:cs="Arial"/>
          <w:b/>
          <w:color w:val="0070C0"/>
          <w:spacing w:val="-14"/>
          <w:w w:val="80"/>
          <w:sz w:val="28"/>
          <w:szCs w:val="28"/>
        </w:rPr>
        <w:t>.</w:t>
      </w:r>
      <w:r w:rsidR="000910D1" w:rsidRPr="0014070A">
        <w:rPr>
          <w:rFonts w:cs="Arial"/>
          <w:b/>
          <w:color w:val="0070C0"/>
          <w:spacing w:val="-14"/>
          <w:w w:val="80"/>
          <w:sz w:val="28"/>
          <w:szCs w:val="28"/>
        </w:rPr>
        <w:t xml:space="preserve"> Κ. </w:t>
      </w:r>
      <w:proofErr w:type="spellStart"/>
      <w:r w:rsidR="000910D1" w:rsidRPr="0014070A">
        <w:rPr>
          <w:rFonts w:cs="Arial"/>
          <w:b/>
          <w:color w:val="0070C0"/>
          <w:spacing w:val="-14"/>
          <w:w w:val="80"/>
          <w:sz w:val="28"/>
          <w:szCs w:val="28"/>
        </w:rPr>
        <w:t>Κατσάρας</w:t>
      </w:r>
      <w:proofErr w:type="spellEnd"/>
      <w:r w:rsidR="000910D1" w:rsidRPr="0014070A">
        <w:rPr>
          <w:rFonts w:cs="Arial"/>
          <w:b/>
          <w:color w:val="0070C0"/>
          <w:spacing w:val="-14"/>
          <w:w w:val="80"/>
          <w:sz w:val="28"/>
          <w:szCs w:val="28"/>
        </w:rPr>
        <w:t xml:space="preserve"> </w:t>
      </w:r>
      <w:r w:rsidR="006944E8" w:rsidRPr="0014070A">
        <w:rPr>
          <w:rFonts w:cs="Arial"/>
          <w:b/>
          <w:color w:val="0070C0"/>
          <w:spacing w:val="-14"/>
          <w:w w:val="80"/>
          <w:sz w:val="28"/>
          <w:szCs w:val="28"/>
        </w:rPr>
        <w:t xml:space="preserve"> </w:t>
      </w:r>
      <w:r w:rsidR="000910D1" w:rsidRPr="0014070A">
        <w:rPr>
          <w:rFonts w:cs="Arial"/>
          <w:b/>
          <w:color w:val="0070C0"/>
          <w:spacing w:val="-14"/>
          <w:w w:val="80"/>
          <w:sz w:val="28"/>
          <w:szCs w:val="28"/>
        </w:rPr>
        <w:t xml:space="preserve">                                                          </w:t>
      </w:r>
      <w:r w:rsidR="00EF0ACE" w:rsidRPr="0014070A">
        <w:rPr>
          <w:rFonts w:cs="Arial"/>
          <w:b/>
          <w:color w:val="0070C0"/>
          <w:spacing w:val="-14"/>
          <w:w w:val="80"/>
          <w:sz w:val="28"/>
          <w:szCs w:val="28"/>
        </w:rPr>
        <w:t xml:space="preserve">                </w:t>
      </w:r>
      <w:r w:rsidR="00EB53B4" w:rsidRPr="0014070A">
        <w:rPr>
          <w:rFonts w:cs="Arial"/>
          <w:b/>
          <w:color w:val="0070C0"/>
          <w:spacing w:val="-14"/>
          <w:w w:val="80"/>
          <w:sz w:val="28"/>
          <w:szCs w:val="28"/>
        </w:rPr>
        <w:t xml:space="preserve">             </w:t>
      </w:r>
      <w:r w:rsidRPr="0014070A">
        <w:rPr>
          <w:rFonts w:cs="Arial"/>
          <w:b/>
          <w:color w:val="0070C0"/>
          <w:spacing w:val="-14"/>
          <w:w w:val="80"/>
          <w:sz w:val="28"/>
          <w:szCs w:val="28"/>
        </w:rPr>
        <w:t xml:space="preserve">       </w:t>
      </w:r>
      <w:r w:rsidR="0014070A">
        <w:rPr>
          <w:rFonts w:cs="Arial"/>
          <w:b/>
          <w:color w:val="0070C0"/>
          <w:spacing w:val="-14"/>
          <w:w w:val="80"/>
          <w:sz w:val="28"/>
          <w:szCs w:val="28"/>
        </w:rPr>
        <w:t xml:space="preserve">                  </w:t>
      </w:r>
    </w:p>
    <w:p w:rsidR="000910D1" w:rsidRPr="0014070A" w:rsidRDefault="0014070A" w:rsidP="001565AB">
      <w:pPr>
        <w:spacing w:after="0" w:line="220" w:lineRule="exact"/>
        <w:ind w:left="720" w:right="57" w:firstLine="57"/>
        <w:outlineLvl w:val="0"/>
        <w:rPr>
          <w:rFonts w:cs="Arial"/>
          <w:b/>
          <w:color w:val="0070C0"/>
          <w:spacing w:val="-14"/>
          <w:w w:val="80"/>
          <w:sz w:val="28"/>
          <w:szCs w:val="28"/>
        </w:rPr>
      </w:pPr>
      <w:r>
        <w:rPr>
          <w:rFonts w:cs="Arial"/>
          <w:b/>
          <w:color w:val="0070C0"/>
          <w:spacing w:val="-14"/>
          <w:w w:val="80"/>
          <w:sz w:val="28"/>
          <w:szCs w:val="28"/>
        </w:rPr>
        <w:t xml:space="preserve">        </w:t>
      </w:r>
      <w:r w:rsidR="001565AB" w:rsidRPr="0014070A">
        <w:rPr>
          <w:rFonts w:cs="Arial"/>
          <w:b/>
          <w:color w:val="0070C0"/>
          <w:spacing w:val="-14"/>
          <w:w w:val="80"/>
          <w:sz w:val="28"/>
          <w:szCs w:val="28"/>
        </w:rPr>
        <w:t xml:space="preserve"> </w:t>
      </w:r>
      <w:r w:rsidR="00317DAA" w:rsidRPr="00317DAA">
        <w:rPr>
          <w:rFonts w:cs="Arial"/>
          <w:b/>
          <w:color w:val="0070C0"/>
          <w:spacing w:val="-14"/>
          <w:w w:val="80"/>
          <w:sz w:val="28"/>
          <w:szCs w:val="28"/>
        </w:rPr>
        <w:t xml:space="preserve">  </w:t>
      </w:r>
      <w:r w:rsidR="00D53464" w:rsidRPr="00D53464">
        <w:rPr>
          <w:rFonts w:cs="Arial"/>
          <w:b/>
          <w:color w:val="0070C0"/>
          <w:spacing w:val="-14"/>
          <w:w w:val="80"/>
          <w:sz w:val="28"/>
          <w:szCs w:val="28"/>
        </w:rPr>
        <w:tab/>
      </w:r>
      <w:r w:rsidR="00D53464" w:rsidRPr="00D53464">
        <w:rPr>
          <w:rFonts w:cs="Arial"/>
          <w:b/>
          <w:color w:val="0070C0"/>
          <w:spacing w:val="-14"/>
          <w:w w:val="80"/>
          <w:sz w:val="28"/>
          <w:szCs w:val="28"/>
        </w:rPr>
        <w:tab/>
      </w:r>
      <w:r w:rsidR="00D53464" w:rsidRPr="00D53464">
        <w:rPr>
          <w:rFonts w:cs="Arial"/>
          <w:b/>
          <w:color w:val="0070C0"/>
          <w:spacing w:val="-14"/>
          <w:w w:val="80"/>
          <w:sz w:val="28"/>
          <w:szCs w:val="28"/>
        </w:rPr>
        <w:tab/>
      </w:r>
      <w:r w:rsidR="00D53464" w:rsidRPr="00D53464">
        <w:rPr>
          <w:rFonts w:cs="Arial"/>
          <w:b/>
          <w:color w:val="0070C0"/>
          <w:spacing w:val="-14"/>
          <w:w w:val="80"/>
          <w:sz w:val="28"/>
          <w:szCs w:val="28"/>
        </w:rPr>
        <w:tab/>
      </w:r>
      <w:r w:rsidR="00D53464" w:rsidRPr="00D53464">
        <w:rPr>
          <w:rFonts w:cs="Arial"/>
          <w:b/>
          <w:color w:val="0070C0"/>
          <w:spacing w:val="-14"/>
          <w:w w:val="80"/>
          <w:sz w:val="28"/>
          <w:szCs w:val="28"/>
        </w:rPr>
        <w:tab/>
      </w:r>
      <w:r w:rsidR="00D53464" w:rsidRPr="007C23FB">
        <w:rPr>
          <w:rFonts w:cs="Arial"/>
          <w:b/>
          <w:color w:val="0070C0"/>
          <w:spacing w:val="-14"/>
          <w:w w:val="80"/>
          <w:sz w:val="28"/>
          <w:szCs w:val="28"/>
        </w:rPr>
        <w:t xml:space="preserve">            </w:t>
      </w:r>
      <w:r w:rsidR="000910D1" w:rsidRPr="0014070A">
        <w:rPr>
          <w:rFonts w:cs="Arial"/>
          <w:b/>
          <w:color w:val="0070C0"/>
          <w:spacing w:val="-14"/>
          <w:w w:val="80"/>
          <w:sz w:val="28"/>
          <w:szCs w:val="28"/>
        </w:rPr>
        <w:t>Σ</w:t>
      </w:r>
      <w:r w:rsidR="00D53464" w:rsidRPr="00D53464">
        <w:rPr>
          <w:rFonts w:cs="Arial"/>
          <w:b/>
          <w:color w:val="0070C0"/>
          <w:spacing w:val="-14"/>
          <w:w w:val="80"/>
          <w:sz w:val="28"/>
          <w:szCs w:val="28"/>
        </w:rPr>
        <w:t>.</w:t>
      </w:r>
      <w:r w:rsidR="000910D1" w:rsidRPr="0014070A">
        <w:rPr>
          <w:rFonts w:cs="Arial"/>
          <w:b/>
          <w:color w:val="0070C0"/>
          <w:spacing w:val="-14"/>
          <w:w w:val="80"/>
          <w:sz w:val="28"/>
          <w:szCs w:val="28"/>
        </w:rPr>
        <w:t xml:space="preserve"> Ο.Ε.Υ. Α’</w:t>
      </w:r>
      <w:r w:rsidR="00021111" w:rsidRPr="0014070A">
        <w:rPr>
          <w:rFonts w:cs="Arial"/>
          <w:b/>
          <w:color w:val="0070C0"/>
          <w:spacing w:val="-14"/>
          <w:w w:val="80"/>
          <w:sz w:val="28"/>
          <w:szCs w:val="28"/>
        </w:rPr>
        <w:t xml:space="preserve">   </w:t>
      </w:r>
      <w:r w:rsidR="00021111" w:rsidRPr="0014070A">
        <w:rPr>
          <w:rFonts w:cs="Arial"/>
          <w:b/>
          <w:color w:val="0070C0"/>
          <w:spacing w:val="-14"/>
          <w:w w:val="80"/>
          <w:sz w:val="28"/>
          <w:szCs w:val="28"/>
        </w:rPr>
        <w:tab/>
      </w:r>
      <w:r w:rsidR="00021111" w:rsidRPr="0014070A">
        <w:rPr>
          <w:rFonts w:cs="Arial"/>
          <w:b/>
          <w:color w:val="0070C0"/>
          <w:spacing w:val="-14"/>
          <w:w w:val="80"/>
          <w:sz w:val="28"/>
          <w:szCs w:val="28"/>
        </w:rPr>
        <w:tab/>
      </w:r>
      <w:r w:rsidR="00021111" w:rsidRPr="0014070A">
        <w:rPr>
          <w:rFonts w:cs="Arial"/>
          <w:b/>
          <w:color w:val="0070C0"/>
          <w:spacing w:val="-14"/>
          <w:w w:val="80"/>
          <w:sz w:val="28"/>
          <w:szCs w:val="28"/>
        </w:rPr>
        <w:tab/>
      </w:r>
    </w:p>
    <w:p w:rsidR="00021111" w:rsidRPr="0014070A" w:rsidRDefault="00021111" w:rsidP="009912BE">
      <w:pPr>
        <w:spacing w:after="0" w:line="220" w:lineRule="exact"/>
        <w:ind w:right="57" w:firstLine="57"/>
        <w:jc w:val="center"/>
        <w:outlineLvl w:val="0"/>
        <w:rPr>
          <w:rFonts w:cs="Arial"/>
          <w:b/>
          <w:color w:val="0070C0"/>
          <w:spacing w:val="-14"/>
          <w:w w:val="80"/>
          <w:sz w:val="28"/>
          <w:szCs w:val="28"/>
        </w:rPr>
      </w:pPr>
    </w:p>
    <w:p w:rsidR="00632932" w:rsidRPr="0014070A" w:rsidRDefault="00D53464" w:rsidP="009912BE">
      <w:pPr>
        <w:spacing w:after="0" w:line="220" w:lineRule="exact"/>
        <w:ind w:right="57" w:firstLine="57"/>
        <w:jc w:val="center"/>
        <w:outlineLvl w:val="0"/>
        <w:rPr>
          <w:rFonts w:cs="Arial"/>
          <w:b/>
          <w:color w:val="0070C0"/>
          <w:spacing w:val="-14"/>
          <w:w w:val="80"/>
          <w:sz w:val="28"/>
          <w:szCs w:val="28"/>
        </w:rPr>
      </w:pPr>
      <w:r w:rsidRPr="00D53464">
        <w:rPr>
          <w:rFonts w:cs="Arial"/>
          <w:b/>
          <w:color w:val="0070C0"/>
          <w:spacing w:val="-14"/>
          <w:w w:val="80"/>
          <w:sz w:val="28"/>
          <w:szCs w:val="28"/>
        </w:rPr>
        <w:t xml:space="preserve">     </w:t>
      </w:r>
      <w:r w:rsidRPr="0014070A">
        <w:rPr>
          <w:rFonts w:cs="Arial"/>
          <w:b/>
          <w:color w:val="0070C0"/>
          <w:spacing w:val="-14"/>
          <w:w w:val="80"/>
          <w:sz w:val="28"/>
          <w:szCs w:val="28"/>
        </w:rPr>
        <w:t xml:space="preserve">Κωνσταντίνος Σ.  </w:t>
      </w:r>
      <w:proofErr w:type="spellStart"/>
      <w:r w:rsidRPr="0014070A">
        <w:rPr>
          <w:rFonts w:cs="Arial"/>
          <w:b/>
          <w:color w:val="0070C0"/>
          <w:spacing w:val="-14"/>
          <w:w w:val="80"/>
          <w:sz w:val="28"/>
          <w:szCs w:val="28"/>
        </w:rPr>
        <w:t>Κουρούμαλος</w:t>
      </w:r>
      <w:proofErr w:type="spellEnd"/>
      <w:r w:rsidRPr="0014070A">
        <w:rPr>
          <w:rFonts w:cs="Arial"/>
          <w:b/>
          <w:color w:val="0070C0"/>
          <w:spacing w:val="-14"/>
          <w:w w:val="80"/>
          <w:sz w:val="28"/>
          <w:szCs w:val="28"/>
        </w:rPr>
        <w:t>,</w:t>
      </w:r>
    </w:p>
    <w:p w:rsidR="00632932" w:rsidRPr="0014070A" w:rsidRDefault="00D53464" w:rsidP="009912BE">
      <w:pPr>
        <w:spacing w:after="0" w:line="220" w:lineRule="exact"/>
        <w:ind w:right="57" w:firstLine="57"/>
        <w:jc w:val="center"/>
        <w:outlineLvl w:val="0"/>
        <w:rPr>
          <w:rFonts w:cs="Arial"/>
          <w:b/>
          <w:color w:val="0070C0"/>
          <w:spacing w:val="-14"/>
          <w:w w:val="80"/>
          <w:sz w:val="28"/>
          <w:szCs w:val="28"/>
        </w:rPr>
      </w:pPr>
      <w:r w:rsidRPr="0014070A">
        <w:rPr>
          <w:rFonts w:cs="Arial"/>
          <w:b/>
          <w:color w:val="0070C0"/>
          <w:spacing w:val="-14"/>
          <w:w w:val="80"/>
          <w:sz w:val="28"/>
          <w:szCs w:val="28"/>
        </w:rPr>
        <w:t xml:space="preserve">        Σύμβουλος Ο.Ε.Υ. Β’</w:t>
      </w:r>
    </w:p>
    <w:p w:rsidR="00632932" w:rsidRPr="0014070A" w:rsidRDefault="00632932" w:rsidP="009912BE">
      <w:pPr>
        <w:spacing w:after="0" w:line="220" w:lineRule="exact"/>
        <w:ind w:right="57" w:firstLine="57"/>
        <w:jc w:val="center"/>
        <w:outlineLvl w:val="0"/>
        <w:rPr>
          <w:rFonts w:cs="Arial"/>
          <w:b/>
          <w:color w:val="0070C0"/>
          <w:spacing w:val="-14"/>
          <w:w w:val="80"/>
          <w:sz w:val="28"/>
          <w:szCs w:val="28"/>
        </w:rPr>
      </w:pPr>
    </w:p>
    <w:p w:rsidR="00632932" w:rsidRPr="0014070A" w:rsidRDefault="00632932" w:rsidP="00321A0B">
      <w:pPr>
        <w:spacing w:after="0" w:line="220" w:lineRule="exact"/>
        <w:ind w:right="57" w:firstLine="57"/>
        <w:jc w:val="center"/>
        <w:outlineLvl w:val="0"/>
        <w:rPr>
          <w:b/>
          <w:color w:val="0070C0"/>
          <w:spacing w:val="-14"/>
          <w:w w:val="80"/>
          <w:sz w:val="28"/>
          <w:szCs w:val="28"/>
        </w:rPr>
      </w:pPr>
    </w:p>
    <w:p w:rsidR="00632932" w:rsidRPr="0014070A" w:rsidRDefault="00632932" w:rsidP="00321A0B">
      <w:pPr>
        <w:spacing w:after="0" w:line="220" w:lineRule="exact"/>
        <w:ind w:right="57" w:firstLine="57"/>
        <w:jc w:val="center"/>
        <w:outlineLvl w:val="0"/>
        <w:rPr>
          <w:b/>
          <w:color w:val="0070C0"/>
          <w:spacing w:val="-14"/>
          <w:w w:val="80"/>
          <w:sz w:val="28"/>
          <w:szCs w:val="28"/>
        </w:rPr>
      </w:pPr>
    </w:p>
    <w:p w:rsidR="00097B8B" w:rsidRPr="0014070A" w:rsidRDefault="00097B8B" w:rsidP="00321A0B">
      <w:pPr>
        <w:spacing w:after="0" w:line="220" w:lineRule="exact"/>
        <w:ind w:right="57" w:firstLine="57"/>
        <w:jc w:val="center"/>
        <w:outlineLvl w:val="0"/>
        <w:rPr>
          <w:b/>
          <w:color w:val="0070C0"/>
          <w:spacing w:val="-14"/>
          <w:w w:val="80"/>
          <w:sz w:val="28"/>
          <w:szCs w:val="28"/>
        </w:rPr>
      </w:pPr>
    </w:p>
    <w:p w:rsidR="00A46B2C" w:rsidRPr="0014070A" w:rsidRDefault="00A46B2C" w:rsidP="00321A0B">
      <w:pPr>
        <w:spacing w:after="0" w:line="220" w:lineRule="exact"/>
        <w:ind w:right="57" w:firstLine="57"/>
        <w:jc w:val="center"/>
        <w:outlineLvl w:val="0"/>
        <w:rPr>
          <w:b/>
          <w:color w:val="0070C0"/>
          <w:spacing w:val="-14"/>
          <w:w w:val="80"/>
          <w:sz w:val="28"/>
          <w:szCs w:val="28"/>
        </w:rPr>
      </w:pPr>
    </w:p>
    <w:p w:rsidR="00A46B2C" w:rsidRPr="0014070A" w:rsidRDefault="00A46B2C" w:rsidP="00321A0B">
      <w:pPr>
        <w:spacing w:after="0" w:line="220" w:lineRule="exact"/>
        <w:ind w:right="57" w:firstLine="57"/>
        <w:jc w:val="center"/>
        <w:outlineLvl w:val="0"/>
        <w:rPr>
          <w:b/>
          <w:color w:val="0070C0"/>
          <w:spacing w:val="-14"/>
          <w:w w:val="80"/>
          <w:sz w:val="28"/>
          <w:szCs w:val="28"/>
        </w:rPr>
      </w:pPr>
    </w:p>
    <w:p w:rsidR="009912BE" w:rsidRPr="0014070A" w:rsidRDefault="009912BE" w:rsidP="00321A0B">
      <w:pPr>
        <w:spacing w:after="0" w:line="220" w:lineRule="exact"/>
        <w:ind w:right="57" w:firstLine="57"/>
        <w:jc w:val="center"/>
        <w:outlineLvl w:val="0"/>
        <w:rPr>
          <w:b/>
          <w:color w:val="0070C0"/>
          <w:spacing w:val="-14"/>
          <w:w w:val="80"/>
          <w:sz w:val="28"/>
          <w:szCs w:val="28"/>
        </w:rPr>
      </w:pPr>
    </w:p>
    <w:p w:rsidR="009912BE" w:rsidRPr="0014070A" w:rsidRDefault="009912BE" w:rsidP="00321A0B">
      <w:pPr>
        <w:spacing w:after="0" w:line="220" w:lineRule="exact"/>
        <w:ind w:right="57" w:firstLine="57"/>
        <w:jc w:val="center"/>
        <w:outlineLvl w:val="0"/>
        <w:rPr>
          <w:b/>
          <w:color w:val="0070C0"/>
          <w:spacing w:val="-14"/>
          <w:w w:val="80"/>
          <w:sz w:val="28"/>
          <w:szCs w:val="28"/>
        </w:rPr>
      </w:pPr>
    </w:p>
    <w:p w:rsidR="00A46B2C" w:rsidRPr="0014070A" w:rsidRDefault="00A46B2C" w:rsidP="00321A0B">
      <w:pPr>
        <w:spacing w:after="0" w:line="220" w:lineRule="exact"/>
        <w:ind w:right="57" w:firstLine="57"/>
        <w:jc w:val="center"/>
        <w:outlineLvl w:val="0"/>
        <w:rPr>
          <w:b/>
          <w:color w:val="0070C0"/>
          <w:spacing w:val="-14"/>
          <w:w w:val="80"/>
          <w:sz w:val="28"/>
          <w:szCs w:val="28"/>
        </w:rPr>
      </w:pPr>
    </w:p>
    <w:p w:rsidR="00097B8B" w:rsidRPr="0014070A" w:rsidRDefault="00097B8B" w:rsidP="00321A0B">
      <w:pPr>
        <w:spacing w:after="0" w:line="220" w:lineRule="exact"/>
        <w:ind w:right="57" w:firstLine="57"/>
        <w:jc w:val="center"/>
        <w:outlineLvl w:val="0"/>
        <w:rPr>
          <w:b/>
          <w:color w:val="0070C0"/>
          <w:spacing w:val="-14"/>
          <w:w w:val="80"/>
          <w:sz w:val="28"/>
          <w:szCs w:val="28"/>
        </w:rPr>
      </w:pPr>
    </w:p>
    <w:p w:rsidR="000B7B09" w:rsidRPr="0014070A" w:rsidRDefault="000B7B09" w:rsidP="000B7B09">
      <w:pPr>
        <w:spacing w:after="0" w:line="220" w:lineRule="exact"/>
        <w:ind w:right="57" w:firstLine="57"/>
        <w:jc w:val="center"/>
        <w:outlineLvl w:val="0"/>
        <w:rPr>
          <w:b/>
          <w:color w:val="0070C0"/>
          <w:spacing w:val="-14"/>
          <w:w w:val="80"/>
          <w:sz w:val="28"/>
          <w:szCs w:val="28"/>
        </w:rPr>
      </w:pPr>
      <w:r w:rsidRPr="0014070A">
        <w:rPr>
          <w:b/>
          <w:color w:val="0070C0"/>
          <w:spacing w:val="-14"/>
          <w:w w:val="80"/>
          <w:sz w:val="28"/>
          <w:szCs w:val="28"/>
        </w:rPr>
        <w:t xml:space="preserve">Λευκωσία, </w:t>
      </w:r>
    </w:p>
    <w:p w:rsidR="00632932" w:rsidRPr="0014070A" w:rsidRDefault="001565AB" w:rsidP="000B7B09">
      <w:pPr>
        <w:spacing w:after="0" w:line="220" w:lineRule="exact"/>
        <w:ind w:right="57" w:firstLine="57"/>
        <w:jc w:val="center"/>
        <w:outlineLvl w:val="0"/>
        <w:rPr>
          <w:b/>
          <w:color w:val="0070C0"/>
          <w:spacing w:val="-14"/>
          <w:w w:val="80"/>
          <w:sz w:val="28"/>
          <w:szCs w:val="28"/>
        </w:rPr>
        <w:sectPr w:rsidR="00632932" w:rsidRPr="0014070A" w:rsidSect="004C4036">
          <w:pgSz w:w="11906" w:h="16838"/>
          <w:pgMar w:top="1276" w:right="991" w:bottom="1440" w:left="567" w:header="708" w:footer="708" w:gutter="0"/>
          <w:cols w:space="708"/>
          <w:docGrid w:linePitch="360"/>
        </w:sectPr>
      </w:pPr>
      <w:proofErr w:type="spellStart"/>
      <w:r w:rsidRPr="0014070A">
        <w:rPr>
          <w:b/>
          <w:color w:val="0070C0"/>
          <w:spacing w:val="-14"/>
          <w:w w:val="80"/>
          <w:sz w:val="28"/>
          <w:szCs w:val="28"/>
        </w:rPr>
        <w:t>Μάϊος</w:t>
      </w:r>
      <w:proofErr w:type="spellEnd"/>
      <w:r w:rsidR="009912BE" w:rsidRPr="0014070A">
        <w:rPr>
          <w:b/>
          <w:color w:val="0070C0"/>
          <w:spacing w:val="-14"/>
          <w:w w:val="80"/>
          <w:sz w:val="28"/>
          <w:szCs w:val="28"/>
        </w:rPr>
        <w:t xml:space="preserve"> 2024</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lastRenderedPageBreak/>
        <w:t xml:space="preserve"> 1. </w:t>
      </w:r>
      <w:r w:rsidR="002148A3" w:rsidRPr="0021642C">
        <w:rPr>
          <w:b/>
          <w:color w:val="0070C0"/>
          <w:spacing w:val="-14"/>
          <w:w w:val="80"/>
          <w:kern w:val="48"/>
        </w:rPr>
        <w:t>ΔΙΕΘΝΕΣ ΟΙΚΟΝΟΜΙΚΟ ΠΕΡΙΒΑΛΛΟΝ</w:t>
      </w:r>
      <w:r w:rsidR="000768DA" w:rsidRPr="0021642C">
        <w:rPr>
          <w:b/>
          <w:color w:val="0070C0"/>
          <w:spacing w:val="-14"/>
          <w:w w:val="80"/>
          <w:kern w:val="48"/>
        </w:rPr>
        <w:t xml:space="preserve"> - </w:t>
      </w:r>
      <w:r w:rsidR="004F14AE" w:rsidRPr="0021642C">
        <w:rPr>
          <w:b/>
          <w:color w:val="0070C0"/>
          <w:spacing w:val="-14"/>
          <w:w w:val="80"/>
          <w:kern w:val="48"/>
        </w:rPr>
        <w:t>ΜΑΚΡΟ-ΟΙΚΟΝΟΜΙΚΕΣ ΠΡΟΒΛΕΨΕΙΣ</w:t>
      </w:r>
      <w:r w:rsidR="00D757A2" w:rsidRPr="0021642C">
        <w:rPr>
          <w:b/>
          <w:color w:val="0070C0"/>
          <w:spacing w:val="-14"/>
          <w:w w:val="80"/>
          <w:kern w:val="48"/>
        </w:rPr>
        <w:t xml:space="preserve"> - </w:t>
      </w:r>
      <w:r w:rsidR="00320934" w:rsidRPr="0021642C">
        <w:rPr>
          <w:b/>
          <w:color w:val="0070C0"/>
          <w:spacing w:val="-14"/>
          <w:w w:val="80"/>
          <w:kern w:val="48"/>
        </w:rPr>
        <w:t xml:space="preserve"> </w:t>
      </w:r>
      <w:r w:rsidR="00D757A2" w:rsidRPr="0021642C">
        <w:rPr>
          <w:b/>
          <w:color w:val="0070C0"/>
          <w:spacing w:val="-14"/>
          <w:w w:val="80"/>
          <w:kern w:val="48"/>
        </w:rPr>
        <w:t>ΔΗΜΟΣΙΑ ΔΙΟΙΚΗΣΗ</w:t>
      </w:r>
      <w:r w:rsidR="000B7B09" w:rsidRPr="0021642C">
        <w:rPr>
          <w:b/>
          <w:color w:val="0070C0"/>
          <w:spacing w:val="-14"/>
          <w:w w:val="80"/>
          <w:kern w:val="48"/>
        </w:rPr>
        <w:t xml:space="preserve"> – ΔΗΜΟΣΙΟΝΟΜΙΚΑ</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21642C" w:rsidRDefault="00130F7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A211C3">
        <w:rPr>
          <w:b/>
          <w:color w:val="0070C0"/>
          <w:spacing w:val="-14"/>
          <w:w w:val="80"/>
          <w:kern w:val="48"/>
        </w:rPr>
        <w:t xml:space="preserve">1.1 </w:t>
      </w:r>
      <w:r w:rsidR="000B7B09" w:rsidRPr="00A211C3">
        <w:rPr>
          <w:b/>
          <w:bCs/>
          <w:color w:val="0070C0"/>
          <w:spacing w:val="-14"/>
          <w:w w:val="80"/>
          <w:kern w:val="48"/>
        </w:rPr>
        <w:t xml:space="preserve">Αύξηση του δημοσιονομικού πλεονάσματος στην Κύπρο το </w:t>
      </w:r>
      <w:proofErr w:type="spellStart"/>
      <w:r w:rsidR="000B7B09" w:rsidRPr="00A211C3">
        <w:rPr>
          <w:b/>
          <w:bCs/>
          <w:color w:val="0070C0"/>
          <w:spacing w:val="-14"/>
          <w:w w:val="80"/>
          <w:kern w:val="48"/>
        </w:rPr>
        <w:t>α΄</w:t>
      </w:r>
      <w:proofErr w:type="spellEnd"/>
      <w:r w:rsidR="000B7B09" w:rsidRPr="00A211C3">
        <w:rPr>
          <w:b/>
          <w:bCs/>
          <w:color w:val="0070C0"/>
          <w:spacing w:val="-14"/>
          <w:w w:val="80"/>
          <w:kern w:val="48"/>
        </w:rPr>
        <w:t xml:space="preserve"> δίμηνο του 2024</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0B7B09" w:rsidRPr="00A36633">
        <w:rPr>
          <w:bCs/>
          <w:spacing w:val="-14"/>
          <w:w w:val="80"/>
          <w:kern w:val="48"/>
        </w:rPr>
        <w:t>Σε 534,8 εκ. Ευρώ, ποσόν που αντιστοιχεί στο 1,7% του ΑΕΠ</w:t>
      </w:r>
      <w:r w:rsidR="00B77D7A">
        <w:rPr>
          <w:bCs/>
          <w:spacing w:val="-14"/>
          <w:w w:val="80"/>
          <w:kern w:val="48"/>
        </w:rPr>
        <w:t>,</w:t>
      </w:r>
      <w:r w:rsidR="000B7B09" w:rsidRPr="00A36633">
        <w:rPr>
          <w:bCs/>
          <w:spacing w:val="-14"/>
          <w:w w:val="80"/>
          <w:kern w:val="48"/>
        </w:rPr>
        <w:t xml:space="preserve"> ανήλθε το δημοσιονομικό πλεόνασμα της Γενικής Κυβέρνησης στην Κύπρο</w:t>
      </w:r>
      <w:r w:rsidR="0014070A" w:rsidRPr="0014070A">
        <w:rPr>
          <w:bCs/>
          <w:spacing w:val="-14"/>
          <w:w w:val="80"/>
          <w:kern w:val="48"/>
        </w:rPr>
        <w:t>,</w:t>
      </w:r>
      <w:r w:rsidR="000B7B09" w:rsidRPr="00A36633">
        <w:rPr>
          <w:bCs/>
          <w:spacing w:val="-14"/>
          <w:w w:val="80"/>
          <w:kern w:val="48"/>
        </w:rPr>
        <w:t xml:space="preserve"> τους δύο πρώτους μήνες του 2024, καταγράφοντας αύξηση</w:t>
      </w:r>
      <w:r w:rsidR="0014070A" w:rsidRPr="0014070A">
        <w:rPr>
          <w:bCs/>
          <w:spacing w:val="-14"/>
          <w:w w:val="80"/>
          <w:kern w:val="48"/>
        </w:rPr>
        <w:t>,</w:t>
      </w:r>
      <w:r w:rsidR="000B7B09" w:rsidRPr="00A36633">
        <w:rPr>
          <w:bCs/>
          <w:spacing w:val="-14"/>
          <w:w w:val="80"/>
          <w:kern w:val="48"/>
        </w:rPr>
        <w:t xml:space="preserve"> 34%</w:t>
      </w:r>
      <w:r w:rsidR="0014070A" w:rsidRPr="0014070A">
        <w:rPr>
          <w:bCs/>
          <w:spacing w:val="-14"/>
          <w:w w:val="80"/>
          <w:kern w:val="48"/>
        </w:rPr>
        <w:t>,</w:t>
      </w:r>
      <w:r w:rsidR="000B7B09" w:rsidRPr="00A36633">
        <w:rPr>
          <w:bCs/>
          <w:spacing w:val="-14"/>
          <w:w w:val="80"/>
          <w:kern w:val="48"/>
        </w:rPr>
        <w:t xml:space="preserve"> σε ετήσια βάση. Σύμφωνα με προκαταρκτικά στοιχεία που δημοσιοποίησε</w:t>
      </w:r>
      <w:r w:rsidR="00B77D7A">
        <w:rPr>
          <w:bCs/>
          <w:spacing w:val="-14"/>
          <w:w w:val="80"/>
          <w:kern w:val="48"/>
        </w:rPr>
        <w:t>,</w:t>
      </w:r>
      <w:r w:rsidR="0014070A">
        <w:rPr>
          <w:bCs/>
          <w:spacing w:val="-14"/>
          <w:w w:val="80"/>
          <w:kern w:val="48"/>
        </w:rPr>
        <w:t xml:space="preserve"> στις 8.4. </w:t>
      </w:r>
      <w:proofErr w:type="spellStart"/>
      <w:r w:rsidR="0014070A">
        <w:rPr>
          <w:bCs/>
          <w:spacing w:val="-14"/>
          <w:w w:val="80"/>
          <w:kern w:val="48"/>
        </w:rPr>
        <w:t>τ.έ</w:t>
      </w:r>
      <w:proofErr w:type="spellEnd"/>
      <w:r w:rsidR="0014070A">
        <w:rPr>
          <w:bCs/>
          <w:spacing w:val="-14"/>
          <w:w w:val="80"/>
          <w:kern w:val="48"/>
        </w:rPr>
        <w:t>.</w:t>
      </w:r>
      <w:r w:rsidR="0014070A" w:rsidRPr="0014070A">
        <w:rPr>
          <w:bCs/>
          <w:spacing w:val="-14"/>
          <w:w w:val="80"/>
          <w:kern w:val="48"/>
        </w:rPr>
        <w:t xml:space="preserve">, </w:t>
      </w:r>
      <w:r w:rsidR="0014070A">
        <w:rPr>
          <w:bCs/>
          <w:spacing w:val="-14"/>
          <w:w w:val="80"/>
          <w:kern w:val="48"/>
        </w:rPr>
        <w:t>η κ/</w:t>
      </w:r>
      <w:r w:rsidR="000B7B09" w:rsidRPr="00A36633">
        <w:rPr>
          <w:bCs/>
          <w:spacing w:val="-14"/>
          <w:w w:val="80"/>
          <w:kern w:val="48"/>
        </w:rPr>
        <w:t>Στατιστική Υπηρεσία, το πλεόνασμα της Γενικής Κυβέρνησης ανήλθε σε 534,8 εκ. Ευρώ, σημαντικά αυξημένο</w:t>
      </w:r>
      <w:r w:rsidR="0014070A" w:rsidRPr="0021642C">
        <w:rPr>
          <w:bCs/>
          <w:spacing w:val="-14"/>
          <w:w w:val="80"/>
          <w:kern w:val="48"/>
        </w:rPr>
        <w:t>,</w:t>
      </w:r>
      <w:r w:rsidR="000B7B09" w:rsidRPr="00A36633">
        <w:rPr>
          <w:bCs/>
          <w:spacing w:val="-14"/>
          <w:w w:val="80"/>
          <w:kern w:val="48"/>
        </w:rPr>
        <w:t xml:space="preserve"> σε σύγκριση με το πλεόνασμα</w:t>
      </w:r>
      <w:r w:rsidR="00B77D7A">
        <w:rPr>
          <w:bCs/>
          <w:spacing w:val="-14"/>
          <w:w w:val="80"/>
          <w:kern w:val="48"/>
        </w:rPr>
        <w:t>,</w:t>
      </w:r>
      <w:r w:rsidR="000B7B09" w:rsidRPr="00A36633">
        <w:rPr>
          <w:bCs/>
          <w:spacing w:val="-14"/>
          <w:w w:val="80"/>
          <w:kern w:val="48"/>
        </w:rPr>
        <w:t> </w:t>
      </w:r>
      <w:r w:rsidR="0014070A" w:rsidRPr="0021642C">
        <w:rPr>
          <w:bCs/>
          <w:spacing w:val="-14"/>
          <w:w w:val="80"/>
          <w:kern w:val="48"/>
        </w:rPr>
        <w:t xml:space="preserve"> </w:t>
      </w:r>
      <w:r w:rsidR="000B7B09" w:rsidRPr="00A36633">
        <w:rPr>
          <w:bCs/>
          <w:spacing w:val="-14"/>
          <w:w w:val="80"/>
          <w:kern w:val="48"/>
        </w:rPr>
        <w:t>398,0 εκ. Ευρώ (1,3% του ΑΕΠ)</w:t>
      </w:r>
      <w:r w:rsidR="00B77D7A">
        <w:rPr>
          <w:bCs/>
          <w:spacing w:val="-14"/>
          <w:w w:val="80"/>
          <w:kern w:val="48"/>
        </w:rPr>
        <w:t>,</w:t>
      </w:r>
      <w:r w:rsidR="000B7B09" w:rsidRPr="00A36633">
        <w:rPr>
          <w:bCs/>
          <w:spacing w:val="-14"/>
          <w:w w:val="80"/>
          <w:kern w:val="48"/>
        </w:rPr>
        <w:t xml:space="preserve"> την αντίστοιχη περίοδο του 2023.</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0B7B09" w:rsidRPr="00A36633">
        <w:rPr>
          <w:bCs/>
          <w:spacing w:val="-14"/>
          <w:w w:val="80"/>
          <w:kern w:val="48"/>
        </w:rPr>
        <w:t>Τα συνολικά έσοδα</w:t>
      </w:r>
      <w:r w:rsidR="00B77D7A">
        <w:rPr>
          <w:bCs/>
          <w:spacing w:val="-14"/>
          <w:w w:val="80"/>
          <w:kern w:val="48"/>
        </w:rPr>
        <w:t>,</w:t>
      </w:r>
      <w:r w:rsidR="000B7B09" w:rsidRPr="00A36633">
        <w:rPr>
          <w:bCs/>
          <w:spacing w:val="-14"/>
          <w:w w:val="80"/>
          <w:kern w:val="48"/>
        </w:rPr>
        <w:t xml:space="preserve"> την περίοδο Ιανουαρίου-Φεβρουαρίου 2024</w:t>
      </w:r>
      <w:r w:rsidR="00B77D7A">
        <w:rPr>
          <w:bCs/>
          <w:spacing w:val="-14"/>
          <w:w w:val="80"/>
          <w:kern w:val="48"/>
        </w:rPr>
        <w:t>,</w:t>
      </w:r>
      <w:r w:rsidR="000B7B09" w:rsidRPr="00A36633">
        <w:rPr>
          <w:bCs/>
          <w:spacing w:val="-14"/>
          <w:w w:val="80"/>
          <w:kern w:val="48"/>
        </w:rPr>
        <w:t xml:space="preserve"> αυξήθηκαν</w:t>
      </w:r>
      <w:r w:rsidR="00B77D7A">
        <w:rPr>
          <w:bCs/>
          <w:spacing w:val="-14"/>
          <w:w w:val="80"/>
          <w:kern w:val="48"/>
        </w:rPr>
        <w:t xml:space="preserve">, κατά 16,7%, </w:t>
      </w:r>
      <w:r w:rsidR="000B7B09" w:rsidRPr="00A36633">
        <w:rPr>
          <w:bCs/>
          <w:spacing w:val="-14"/>
          <w:w w:val="80"/>
          <w:kern w:val="48"/>
        </w:rPr>
        <w:t xml:space="preserve">ή κατά 333,9 εκ. Ευρώ και διαμορφώθηκαν στα 2.328 εκ. </w:t>
      </w:r>
      <w:r w:rsidR="00B77D7A">
        <w:rPr>
          <w:bCs/>
          <w:spacing w:val="-14"/>
          <w:w w:val="80"/>
          <w:kern w:val="48"/>
        </w:rPr>
        <w:t>Ευρώ σε σύγκριση με 1.994,1 εκ</w:t>
      </w:r>
      <w:r w:rsidR="000B7B09" w:rsidRPr="00A36633">
        <w:rPr>
          <w:bCs/>
          <w:spacing w:val="-14"/>
          <w:w w:val="80"/>
          <w:kern w:val="48"/>
        </w:rPr>
        <w:t>. Ευρώ</w:t>
      </w:r>
      <w:r w:rsidR="00B77D7A">
        <w:rPr>
          <w:bCs/>
          <w:spacing w:val="-14"/>
          <w:w w:val="80"/>
          <w:kern w:val="48"/>
        </w:rPr>
        <w:t>,</w:t>
      </w:r>
      <w:r w:rsidR="000B7B09" w:rsidRPr="00A36633">
        <w:rPr>
          <w:bCs/>
          <w:spacing w:val="-14"/>
          <w:w w:val="80"/>
          <w:kern w:val="48"/>
        </w:rPr>
        <w:t xml:space="preserve"> την αντίστοιχη περίοδο του 2023.</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0B7B09" w:rsidRPr="00A36633">
        <w:rPr>
          <w:bCs/>
          <w:spacing w:val="-14"/>
          <w:w w:val="80"/>
          <w:kern w:val="48"/>
        </w:rPr>
        <w:t>Ειδικότερα, οι συνολικοί φόροι επί της παραγωγής και των εισαγωγών αυξήθηκαν</w:t>
      </w:r>
      <w:r w:rsidR="0014070A" w:rsidRPr="0014070A">
        <w:rPr>
          <w:bCs/>
          <w:spacing w:val="-14"/>
          <w:w w:val="80"/>
          <w:kern w:val="48"/>
        </w:rPr>
        <w:t>,</w:t>
      </w:r>
      <w:r w:rsidR="000B7B09" w:rsidRPr="00A36633">
        <w:rPr>
          <w:bCs/>
          <w:spacing w:val="-14"/>
          <w:w w:val="80"/>
          <w:kern w:val="48"/>
        </w:rPr>
        <w:t xml:space="preserve"> κατά 54,1 εκ. Ευρώ (8,0%) και ανήλθαν στα 727,2 εκ. Ευρώ</w:t>
      </w:r>
      <w:r w:rsidR="00B77D7A">
        <w:rPr>
          <w:bCs/>
          <w:spacing w:val="-14"/>
          <w:w w:val="80"/>
          <w:kern w:val="48"/>
        </w:rPr>
        <w:t>,</w:t>
      </w:r>
      <w:r w:rsidR="000B7B09" w:rsidRPr="00A36633">
        <w:rPr>
          <w:bCs/>
          <w:spacing w:val="-14"/>
          <w:w w:val="80"/>
          <w:kern w:val="48"/>
        </w:rPr>
        <w:t xml:space="preserve"> σε σύγκριση με 673,1 εκ. Ευρώ το 2023, εκ των οποίων</w:t>
      </w:r>
      <w:r w:rsidR="00E8251D" w:rsidRPr="00E8251D">
        <w:rPr>
          <w:bCs/>
          <w:spacing w:val="-14"/>
          <w:w w:val="80"/>
          <w:kern w:val="48"/>
        </w:rPr>
        <w:t>,</w:t>
      </w:r>
      <w:r w:rsidR="000B7B09" w:rsidRPr="00A36633">
        <w:rPr>
          <w:bCs/>
          <w:spacing w:val="-14"/>
          <w:w w:val="80"/>
          <w:kern w:val="48"/>
        </w:rPr>
        <w:t xml:space="preserve"> τα καθαρά έσοδα από τον ΦΠΑ (μετά την αφαίρεση των επιστροφών) αυξήθηκαν</w:t>
      </w:r>
      <w:r w:rsidR="00B77D7A">
        <w:rPr>
          <w:bCs/>
          <w:spacing w:val="-14"/>
          <w:w w:val="80"/>
          <w:kern w:val="48"/>
        </w:rPr>
        <w:t>,</w:t>
      </w:r>
      <w:r w:rsidR="000B7B09" w:rsidRPr="00A36633">
        <w:rPr>
          <w:bCs/>
          <w:spacing w:val="-14"/>
          <w:w w:val="80"/>
          <w:kern w:val="48"/>
        </w:rPr>
        <w:t xml:space="preserve"> κατά 51,7 εκ. Ευρώ (11,0%) και ανήλθαν στα 523,2 εκ. Ευρώ</w:t>
      </w:r>
      <w:r w:rsidR="00B77D7A">
        <w:rPr>
          <w:bCs/>
          <w:spacing w:val="-14"/>
          <w:w w:val="80"/>
          <w:kern w:val="48"/>
        </w:rPr>
        <w:t>,</w:t>
      </w:r>
      <w:r w:rsidR="000B7B09" w:rsidRPr="00A36633">
        <w:rPr>
          <w:bCs/>
          <w:spacing w:val="-14"/>
          <w:w w:val="80"/>
          <w:kern w:val="48"/>
        </w:rPr>
        <w:t xml:space="preserve"> σε σύγκριση με 471,5 εκ. Ευρώ</w:t>
      </w:r>
      <w:r w:rsidR="0014070A" w:rsidRPr="00D53464">
        <w:rPr>
          <w:bCs/>
          <w:spacing w:val="-14"/>
          <w:w w:val="80"/>
          <w:kern w:val="48"/>
        </w:rPr>
        <w:t>,</w:t>
      </w:r>
      <w:r w:rsidR="000B7B09" w:rsidRPr="00A36633">
        <w:rPr>
          <w:bCs/>
          <w:spacing w:val="-14"/>
          <w:w w:val="80"/>
          <w:kern w:val="48"/>
        </w:rPr>
        <w:t xml:space="preserve"> το 2023. Τα έσοδα από τη φορολογία στο εισόδημα και τον πλούτο αυξήθηκαν</w:t>
      </w:r>
      <w:r w:rsidR="00B77D7A">
        <w:rPr>
          <w:bCs/>
          <w:spacing w:val="-14"/>
          <w:w w:val="80"/>
          <w:kern w:val="48"/>
        </w:rPr>
        <w:t>,</w:t>
      </w:r>
      <w:r w:rsidR="000B7B09" w:rsidRPr="00A36633">
        <w:rPr>
          <w:bCs/>
          <w:spacing w:val="-14"/>
          <w:w w:val="80"/>
          <w:kern w:val="48"/>
        </w:rPr>
        <w:t xml:space="preserve"> κατά 120,8 εκ. Ευρώ (20,1%) και ανήλθαν στα 721,7 εκ. Ευρώ</w:t>
      </w:r>
      <w:r w:rsidR="00B77D7A">
        <w:rPr>
          <w:bCs/>
          <w:spacing w:val="-14"/>
          <w:w w:val="80"/>
          <w:kern w:val="48"/>
        </w:rPr>
        <w:t>,</w:t>
      </w:r>
      <w:r w:rsidR="000B7B09" w:rsidRPr="00A36633">
        <w:rPr>
          <w:bCs/>
          <w:spacing w:val="-14"/>
          <w:w w:val="80"/>
          <w:kern w:val="48"/>
        </w:rPr>
        <w:t xml:space="preserve"> σε σύγκριση με 600,9 εκ. Ευρώ το 2023. Οι κοινωνικές εισφορές αυξήθηκαν</w:t>
      </w:r>
      <w:r w:rsidR="00B77D7A">
        <w:rPr>
          <w:bCs/>
          <w:spacing w:val="-14"/>
          <w:w w:val="80"/>
          <w:kern w:val="48"/>
        </w:rPr>
        <w:t>,</w:t>
      </w:r>
      <w:r w:rsidR="000B7B09" w:rsidRPr="00A36633">
        <w:rPr>
          <w:bCs/>
          <w:spacing w:val="-14"/>
          <w:w w:val="80"/>
          <w:kern w:val="48"/>
        </w:rPr>
        <w:t xml:space="preserve"> κατά 98,6 εκ. Ευρώ (17,1%) και ανήλθαν στα 673,9 εκ. Ευρώ</w:t>
      </w:r>
      <w:r w:rsidR="00B77D7A">
        <w:rPr>
          <w:bCs/>
          <w:spacing w:val="-14"/>
          <w:w w:val="80"/>
          <w:kern w:val="48"/>
        </w:rPr>
        <w:t>,</w:t>
      </w:r>
      <w:r w:rsidR="000B7B09" w:rsidRPr="00A36633">
        <w:rPr>
          <w:bCs/>
          <w:spacing w:val="-14"/>
          <w:w w:val="80"/>
          <w:kern w:val="48"/>
        </w:rPr>
        <w:t xml:space="preserve"> σε σύγκριση με 575,3 εκ. Ευρώ</w:t>
      </w:r>
      <w:r w:rsidR="00B77D7A">
        <w:rPr>
          <w:bCs/>
          <w:spacing w:val="-14"/>
          <w:w w:val="80"/>
          <w:kern w:val="48"/>
        </w:rPr>
        <w:t>,</w:t>
      </w:r>
      <w:r w:rsidR="000B7B09" w:rsidRPr="00A36633">
        <w:rPr>
          <w:bCs/>
          <w:spacing w:val="-14"/>
          <w:w w:val="80"/>
          <w:kern w:val="48"/>
        </w:rPr>
        <w:t xml:space="preserve"> το 2023. Οι εισπραχθέντες τόκοι και τα μερίσματα αυξήθηκαν</w:t>
      </w:r>
      <w:r w:rsidR="00B77D7A">
        <w:rPr>
          <w:bCs/>
          <w:spacing w:val="-14"/>
          <w:w w:val="80"/>
          <w:kern w:val="48"/>
        </w:rPr>
        <w:t>,</w:t>
      </w:r>
      <w:r w:rsidR="000B7B09" w:rsidRPr="00A36633">
        <w:rPr>
          <w:bCs/>
          <w:spacing w:val="-14"/>
          <w:w w:val="80"/>
          <w:kern w:val="48"/>
        </w:rPr>
        <w:t xml:space="preserve"> κατά 1,2 εκ. Ευρώ (7,7%)</w:t>
      </w:r>
      <w:r w:rsidR="00B77D7A">
        <w:rPr>
          <w:bCs/>
          <w:spacing w:val="-14"/>
          <w:w w:val="80"/>
          <w:kern w:val="48"/>
        </w:rPr>
        <w:t>,</w:t>
      </w:r>
      <w:r w:rsidR="000B7B09" w:rsidRPr="00A36633">
        <w:rPr>
          <w:bCs/>
          <w:spacing w:val="-14"/>
          <w:w w:val="80"/>
          <w:kern w:val="48"/>
        </w:rPr>
        <w:t xml:space="preserve"> και ανήλθαν στα 16,8 εκ. Ευρώ</w:t>
      </w:r>
      <w:r w:rsidR="00B77D7A">
        <w:rPr>
          <w:bCs/>
          <w:spacing w:val="-14"/>
          <w:w w:val="80"/>
          <w:kern w:val="48"/>
        </w:rPr>
        <w:t>,</w:t>
      </w:r>
      <w:r w:rsidR="000B7B09" w:rsidRPr="00A36633">
        <w:rPr>
          <w:bCs/>
          <w:spacing w:val="-14"/>
          <w:w w:val="80"/>
          <w:kern w:val="48"/>
        </w:rPr>
        <w:t xml:space="preserve"> σε σύγκριση με 15,6 εκ. Ευρώ</w:t>
      </w:r>
      <w:r w:rsidR="00B77D7A">
        <w:rPr>
          <w:bCs/>
          <w:spacing w:val="-14"/>
          <w:w w:val="80"/>
          <w:kern w:val="48"/>
        </w:rPr>
        <w:t>,</w:t>
      </w:r>
      <w:r w:rsidR="000B7B09" w:rsidRPr="00A36633">
        <w:rPr>
          <w:bCs/>
          <w:spacing w:val="-14"/>
          <w:w w:val="80"/>
          <w:kern w:val="48"/>
        </w:rPr>
        <w:t xml:space="preserve"> το 2023. Οι τρέχουσες μεταβιβάσεις αυξήθηκαν</w:t>
      </w:r>
      <w:r w:rsidR="00B77D7A">
        <w:rPr>
          <w:bCs/>
          <w:spacing w:val="-14"/>
          <w:w w:val="80"/>
          <w:kern w:val="48"/>
        </w:rPr>
        <w:t>,</w:t>
      </w:r>
      <w:r w:rsidR="003806E0">
        <w:rPr>
          <w:bCs/>
          <w:spacing w:val="-14"/>
          <w:w w:val="80"/>
          <w:kern w:val="48"/>
        </w:rPr>
        <w:t xml:space="preserve"> κατά 4,0 εκ. Ευρώ (14,3%,</w:t>
      </w:r>
      <w:r w:rsidR="000B7B09" w:rsidRPr="00A36633">
        <w:rPr>
          <w:bCs/>
          <w:spacing w:val="-14"/>
          <w:w w:val="80"/>
          <w:kern w:val="48"/>
        </w:rPr>
        <w:t xml:space="preserve"> και ανήλθαν στα 31,9 εκ. Ευρώ</w:t>
      </w:r>
      <w:r w:rsidR="00B77D7A">
        <w:rPr>
          <w:bCs/>
          <w:spacing w:val="-14"/>
          <w:w w:val="80"/>
          <w:kern w:val="48"/>
        </w:rPr>
        <w:t>,</w:t>
      </w:r>
      <w:r w:rsidR="000B7B09" w:rsidRPr="00A36633">
        <w:rPr>
          <w:bCs/>
          <w:spacing w:val="-14"/>
          <w:w w:val="80"/>
          <w:kern w:val="48"/>
        </w:rPr>
        <w:t xml:space="preserve"> σε σύγκριση με 27,9 εκ. Ευρώ</w:t>
      </w:r>
      <w:r w:rsidR="003806E0">
        <w:rPr>
          <w:bCs/>
          <w:spacing w:val="-14"/>
          <w:w w:val="80"/>
          <w:kern w:val="48"/>
        </w:rPr>
        <w:t>,</w:t>
      </w:r>
      <w:r w:rsidR="000B7B09" w:rsidRPr="00A36633">
        <w:rPr>
          <w:bCs/>
          <w:spacing w:val="-14"/>
          <w:w w:val="80"/>
          <w:kern w:val="48"/>
        </w:rPr>
        <w:t xml:space="preserve"> το 2023. Τα έσοδα από παροχή υπηρεσιών αυξήθηκαν</w:t>
      </w:r>
      <w:r w:rsidR="003806E0">
        <w:rPr>
          <w:bCs/>
          <w:spacing w:val="-14"/>
          <w:w w:val="80"/>
          <w:kern w:val="48"/>
        </w:rPr>
        <w:t>,</w:t>
      </w:r>
      <w:r w:rsidR="000B7B09" w:rsidRPr="00A36633">
        <w:rPr>
          <w:bCs/>
          <w:spacing w:val="-14"/>
          <w:w w:val="80"/>
          <w:kern w:val="48"/>
        </w:rPr>
        <w:t xml:space="preserve"> κατά 53,0 εκ. Ευρώ (54,4%)</w:t>
      </w:r>
      <w:r w:rsidR="003806E0">
        <w:rPr>
          <w:bCs/>
          <w:spacing w:val="-14"/>
          <w:w w:val="80"/>
          <w:kern w:val="48"/>
        </w:rPr>
        <w:t>,</w:t>
      </w:r>
      <w:r w:rsidR="000B7B09" w:rsidRPr="00A36633">
        <w:rPr>
          <w:bCs/>
          <w:spacing w:val="-14"/>
          <w:w w:val="80"/>
          <w:kern w:val="48"/>
        </w:rPr>
        <w:t xml:space="preserve"> και ανήλθαν στα 150,4 εκ. Ευρώ</w:t>
      </w:r>
      <w:r w:rsidR="003806E0">
        <w:rPr>
          <w:bCs/>
          <w:spacing w:val="-14"/>
          <w:w w:val="80"/>
          <w:kern w:val="48"/>
        </w:rPr>
        <w:t>,</w:t>
      </w:r>
      <w:r w:rsidR="000B7B09" w:rsidRPr="00A36633">
        <w:rPr>
          <w:bCs/>
          <w:spacing w:val="-14"/>
          <w:w w:val="80"/>
          <w:kern w:val="48"/>
        </w:rPr>
        <w:t xml:space="preserve"> σε σύγκριση με 97,4 εκ. Ευρώ το 2023. Οι κεφαλαιουχικές μεταβιβάσεις αυξήθηκαν</w:t>
      </w:r>
      <w:r w:rsidR="0014070A" w:rsidRPr="00D53464">
        <w:rPr>
          <w:bCs/>
          <w:spacing w:val="-14"/>
          <w:w w:val="80"/>
          <w:kern w:val="48"/>
        </w:rPr>
        <w:t>,</w:t>
      </w:r>
      <w:r w:rsidR="000B7B09" w:rsidRPr="00A36633">
        <w:rPr>
          <w:bCs/>
          <w:spacing w:val="-14"/>
          <w:w w:val="80"/>
          <w:kern w:val="48"/>
        </w:rPr>
        <w:t xml:space="preserve"> κατά 2,2 εκ. Ευρώ (56,4%) και ανήλθαν στα 6,1 εκ. Ευρώ σε σύγκριση με 3,9 εκ. Ευρώ</w:t>
      </w:r>
      <w:r w:rsidR="0014070A" w:rsidRPr="0014070A">
        <w:rPr>
          <w:bCs/>
          <w:spacing w:val="-14"/>
          <w:w w:val="80"/>
          <w:kern w:val="48"/>
        </w:rPr>
        <w:t>,</w:t>
      </w:r>
      <w:r w:rsidR="000B7B09" w:rsidRPr="00A36633">
        <w:rPr>
          <w:bCs/>
          <w:spacing w:val="-14"/>
          <w:w w:val="80"/>
          <w:kern w:val="48"/>
        </w:rPr>
        <w:t xml:space="preserve"> το 2023.</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0B7B09" w:rsidRPr="00A36633">
        <w:rPr>
          <w:bCs/>
          <w:spacing w:val="-14"/>
          <w:w w:val="80"/>
          <w:kern w:val="48"/>
        </w:rPr>
        <w:t>Οι συνολικές δαπάνες, κατά την περίοδο Ιανουαρίου</w:t>
      </w:r>
      <w:r w:rsidR="00463EB3">
        <w:rPr>
          <w:bCs/>
          <w:spacing w:val="-14"/>
          <w:w w:val="80"/>
          <w:kern w:val="48"/>
        </w:rPr>
        <w:t xml:space="preserve"> </w:t>
      </w:r>
      <w:r w:rsidR="000B7B09" w:rsidRPr="00A36633">
        <w:rPr>
          <w:bCs/>
          <w:spacing w:val="-14"/>
          <w:w w:val="80"/>
          <w:kern w:val="48"/>
        </w:rPr>
        <w:t>-</w:t>
      </w:r>
      <w:r w:rsidR="00463EB3">
        <w:rPr>
          <w:bCs/>
          <w:spacing w:val="-14"/>
          <w:w w:val="80"/>
          <w:kern w:val="48"/>
        </w:rPr>
        <w:t xml:space="preserve"> </w:t>
      </w:r>
      <w:r w:rsidR="000B7B09" w:rsidRPr="00A36633">
        <w:rPr>
          <w:bCs/>
          <w:spacing w:val="-14"/>
          <w:w w:val="80"/>
          <w:kern w:val="48"/>
        </w:rPr>
        <w:t>Φεβρουαρίου 2024</w:t>
      </w:r>
      <w:r w:rsidR="0014070A" w:rsidRPr="0014070A">
        <w:rPr>
          <w:bCs/>
          <w:spacing w:val="-14"/>
          <w:w w:val="80"/>
          <w:kern w:val="48"/>
        </w:rPr>
        <w:t>,</w:t>
      </w:r>
      <w:r w:rsidR="000B7B09" w:rsidRPr="00A36633">
        <w:rPr>
          <w:bCs/>
          <w:spacing w:val="-14"/>
          <w:w w:val="80"/>
          <w:kern w:val="48"/>
        </w:rPr>
        <w:t xml:space="preserve"> αυξήθηκαν</w:t>
      </w:r>
      <w:r w:rsidR="003806E0">
        <w:rPr>
          <w:bCs/>
          <w:spacing w:val="-14"/>
          <w:w w:val="80"/>
          <w:kern w:val="48"/>
        </w:rPr>
        <w:t>,</w:t>
      </w:r>
      <w:r w:rsidR="000B7B09" w:rsidRPr="00A36633">
        <w:rPr>
          <w:bCs/>
          <w:spacing w:val="-14"/>
          <w:w w:val="80"/>
          <w:kern w:val="48"/>
        </w:rPr>
        <w:t xml:space="preserve"> κατά 197,1 εκ. Ευρώ ή κατά 12,3% και ανήλθαν στα 1.793,2 εκ. Ευρώ</w:t>
      </w:r>
      <w:r w:rsidR="003806E0">
        <w:rPr>
          <w:bCs/>
          <w:spacing w:val="-14"/>
          <w:w w:val="80"/>
          <w:kern w:val="48"/>
        </w:rPr>
        <w:t>,</w:t>
      </w:r>
      <w:r w:rsidR="000B7B09" w:rsidRPr="00A36633">
        <w:rPr>
          <w:bCs/>
          <w:spacing w:val="-14"/>
          <w:w w:val="80"/>
          <w:kern w:val="48"/>
        </w:rPr>
        <w:t xml:space="preserve"> σε σύγκριση με 1.596,1 εκ. Ευρώ</w:t>
      </w:r>
      <w:r w:rsidR="003806E0">
        <w:rPr>
          <w:bCs/>
          <w:spacing w:val="-14"/>
          <w:w w:val="80"/>
          <w:kern w:val="48"/>
        </w:rPr>
        <w:t>,</w:t>
      </w:r>
      <w:r w:rsidR="000B7B09" w:rsidRPr="00A36633">
        <w:rPr>
          <w:bCs/>
          <w:spacing w:val="-14"/>
          <w:w w:val="80"/>
          <w:kern w:val="48"/>
        </w:rPr>
        <w:t xml:space="preserve"> την αντίστοιχη περίοδο του 2023. </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0B7B09" w:rsidRPr="00A36633">
        <w:rPr>
          <w:bCs/>
          <w:spacing w:val="-14"/>
          <w:w w:val="80"/>
          <w:kern w:val="48"/>
        </w:rPr>
        <w:t>Συγκεκριμένα, η ενδιάμεση κατανάλωση αυξήθηκε</w:t>
      </w:r>
      <w:r w:rsidR="003806E0">
        <w:rPr>
          <w:bCs/>
          <w:spacing w:val="-14"/>
          <w:w w:val="80"/>
          <w:kern w:val="48"/>
        </w:rPr>
        <w:t>,</w:t>
      </w:r>
      <w:r w:rsidR="000B7B09" w:rsidRPr="00A36633">
        <w:rPr>
          <w:bCs/>
          <w:spacing w:val="-14"/>
          <w:w w:val="80"/>
          <w:kern w:val="48"/>
        </w:rPr>
        <w:t xml:space="preserve"> κατά 16,7 εκ. Ευρώ (10,6%) και ανήλθε στα 174,1 εκ. Ευρώ</w:t>
      </w:r>
      <w:r w:rsidR="003806E0">
        <w:rPr>
          <w:bCs/>
          <w:spacing w:val="-14"/>
          <w:w w:val="80"/>
          <w:kern w:val="48"/>
        </w:rPr>
        <w:t>,</w:t>
      </w:r>
      <w:r w:rsidR="000B7B09" w:rsidRPr="00A36633">
        <w:rPr>
          <w:bCs/>
          <w:spacing w:val="-14"/>
          <w:w w:val="80"/>
          <w:kern w:val="48"/>
        </w:rPr>
        <w:t xml:space="preserve"> σε σύγκριση με 157,4 εκ. Ευρώ το 2023. Οι απολαβές προσωπικού (συμπεριλαμβανομένων των τεκμαρτών κοινωνικών εισφορών και συντάξεων των δημοσίων υπαλλήλων) αυξήθηκαν κατά 82,0 εκ. Ευρώ (15,8%) και ανήλθαν στα 601,2 εκ. Ευρώ σε σύγκριση με 519,2 εκ. Ευρώ</w:t>
      </w:r>
      <w:r w:rsidR="003806E0">
        <w:rPr>
          <w:bCs/>
          <w:spacing w:val="-14"/>
          <w:w w:val="80"/>
          <w:kern w:val="48"/>
        </w:rPr>
        <w:t>,</w:t>
      </w:r>
      <w:r w:rsidR="000B7B09" w:rsidRPr="00A36633">
        <w:rPr>
          <w:bCs/>
          <w:spacing w:val="-14"/>
          <w:w w:val="80"/>
          <w:kern w:val="48"/>
        </w:rPr>
        <w:t xml:space="preserve"> το 2023. Οι κοινωνικές παροχές αυξήθηκαν</w:t>
      </w:r>
      <w:r w:rsidR="003806E0">
        <w:rPr>
          <w:bCs/>
          <w:spacing w:val="-14"/>
          <w:w w:val="80"/>
          <w:kern w:val="48"/>
        </w:rPr>
        <w:t>,</w:t>
      </w:r>
      <w:r w:rsidR="000B7B09" w:rsidRPr="00A36633">
        <w:rPr>
          <w:bCs/>
          <w:spacing w:val="-14"/>
          <w:w w:val="80"/>
          <w:kern w:val="48"/>
        </w:rPr>
        <w:t xml:space="preserve"> κατά 83,5 εκ. Ευρώ (12,9%) και ανήλθαν στα 730,8 εκ. Ευρώ</w:t>
      </w:r>
      <w:r w:rsidR="003806E0">
        <w:rPr>
          <w:bCs/>
          <w:spacing w:val="-14"/>
          <w:w w:val="80"/>
          <w:kern w:val="48"/>
        </w:rPr>
        <w:t>,</w:t>
      </w:r>
      <w:r w:rsidR="000B7B09" w:rsidRPr="00A36633">
        <w:rPr>
          <w:bCs/>
          <w:spacing w:val="-14"/>
          <w:w w:val="80"/>
          <w:kern w:val="48"/>
        </w:rPr>
        <w:t xml:space="preserve"> σε σύγκριση με 647,3 εκ. Ευρώ</w:t>
      </w:r>
      <w:r w:rsidR="003806E0">
        <w:rPr>
          <w:bCs/>
          <w:spacing w:val="-14"/>
          <w:w w:val="80"/>
          <w:kern w:val="48"/>
        </w:rPr>
        <w:t>,</w:t>
      </w:r>
      <w:r w:rsidR="000B7B09" w:rsidRPr="00A36633">
        <w:rPr>
          <w:bCs/>
          <w:spacing w:val="-14"/>
          <w:w w:val="80"/>
          <w:kern w:val="48"/>
        </w:rPr>
        <w:t xml:space="preserve"> το 2023. Οι τρέχουσες μεταβιβάσεις αυξήθηκαν</w:t>
      </w:r>
      <w:r w:rsidR="003806E0">
        <w:rPr>
          <w:bCs/>
          <w:spacing w:val="-14"/>
          <w:w w:val="80"/>
          <w:kern w:val="48"/>
        </w:rPr>
        <w:t>,</w:t>
      </w:r>
      <w:r w:rsidR="000B7B09" w:rsidRPr="00A36633">
        <w:rPr>
          <w:bCs/>
          <w:spacing w:val="-14"/>
          <w:w w:val="80"/>
          <w:kern w:val="48"/>
        </w:rPr>
        <w:t xml:space="preserve"> κατά 3,9 εκ. Ευρώ (3,2%)</w:t>
      </w:r>
      <w:r w:rsidR="003806E0">
        <w:rPr>
          <w:bCs/>
          <w:spacing w:val="-14"/>
          <w:w w:val="80"/>
          <w:kern w:val="48"/>
        </w:rPr>
        <w:t>,</w:t>
      </w:r>
      <w:r w:rsidR="000B7B09" w:rsidRPr="00A36633">
        <w:rPr>
          <w:bCs/>
          <w:spacing w:val="-14"/>
          <w:w w:val="80"/>
          <w:kern w:val="48"/>
        </w:rPr>
        <w:t xml:space="preserve"> και ανήλθαν στα 125,0 εκ. Ευρώ</w:t>
      </w:r>
      <w:r w:rsidR="003806E0">
        <w:rPr>
          <w:bCs/>
          <w:spacing w:val="-14"/>
          <w:w w:val="80"/>
          <w:kern w:val="48"/>
        </w:rPr>
        <w:t>,</w:t>
      </w:r>
      <w:r w:rsidR="000B7B09" w:rsidRPr="00A36633">
        <w:rPr>
          <w:bCs/>
          <w:spacing w:val="-14"/>
          <w:w w:val="80"/>
          <w:kern w:val="48"/>
        </w:rPr>
        <w:t xml:space="preserve"> σε σύγκριση με 121,1 εκ. Ευρώ</w:t>
      </w:r>
      <w:r w:rsidR="003806E0">
        <w:rPr>
          <w:bCs/>
          <w:spacing w:val="-14"/>
          <w:w w:val="80"/>
          <w:kern w:val="48"/>
        </w:rPr>
        <w:t>,</w:t>
      </w:r>
      <w:r w:rsidR="000B7B09" w:rsidRPr="00A36633">
        <w:rPr>
          <w:bCs/>
          <w:spacing w:val="-14"/>
          <w:w w:val="80"/>
          <w:kern w:val="48"/>
        </w:rPr>
        <w:t xml:space="preserve"> το 2023. Οι λογαριασμοί κεφαλαίου αυξήθηκαν κατά 39,8 εκ. Ευρώ (73,4%) και ανήλθαν στα 94,0 εκ. Ευρώ σε σύγκριση με 54,2 εκ. Ευρώ το 2023, εκ των οποίων, οι επενδύσεις πάγιου κεφαλαίου αυξήθηκαν κατά 21,8 εκ. Ευρώ (43,4%) και ανήλθαν στα 72,0 εκ. Ευρώ σε σύγκριση με 50,2 εκ. Ευρώ το 2023. Οι λοιπές μεταβιβάσεις κεφαλαίου αυξήθηκαν</w:t>
      </w:r>
      <w:r w:rsidR="003806E0">
        <w:rPr>
          <w:bCs/>
          <w:spacing w:val="-14"/>
          <w:w w:val="80"/>
          <w:kern w:val="48"/>
        </w:rPr>
        <w:t>,</w:t>
      </w:r>
      <w:r w:rsidR="000B7B09" w:rsidRPr="00A36633">
        <w:rPr>
          <w:bCs/>
          <w:spacing w:val="-14"/>
          <w:w w:val="80"/>
          <w:kern w:val="48"/>
        </w:rPr>
        <w:t xml:space="preserve"> κατά 18,0 εκ. Ευρώ και ανήλθαν στα 22,0 εκ. Ευρώ</w:t>
      </w:r>
      <w:r w:rsidR="003806E0">
        <w:rPr>
          <w:bCs/>
          <w:spacing w:val="-14"/>
          <w:w w:val="80"/>
          <w:kern w:val="48"/>
        </w:rPr>
        <w:t>,</w:t>
      </w:r>
      <w:r w:rsidR="000B7B09" w:rsidRPr="00A36633">
        <w:rPr>
          <w:bCs/>
          <w:spacing w:val="-14"/>
          <w:w w:val="80"/>
          <w:kern w:val="48"/>
        </w:rPr>
        <w:t xml:space="preserve"> σε σύγκριση με 4,0 εκ. Ευρώ το 2023. Αντιθέτως, οι πληρωθέντες τόκοι μειώθηκαν</w:t>
      </w:r>
      <w:r w:rsidR="003806E0">
        <w:rPr>
          <w:bCs/>
          <w:spacing w:val="-14"/>
          <w:w w:val="80"/>
          <w:kern w:val="48"/>
        </w:rPr>
        <w:t>,</w:t>
      </w:r>
      <w:r w:rsidR="000B7B09" w:rsidRPr="00A36633">
        <w:rPr>
          <w:bCs/>
          <w:spacing w:val="-14"/>
          <w:w w:val="80"/>
          <w:kern w:val="48"/>
        </w:rPr>
        <w:t xml:space="preserve"> κατά 13,9 εκ. Ευρώ</w:t>
      </w:r>
      <w:r w:rsidR="003806E0">
        <w:rPr>
          <w:bCs/>
          <w:spacing w:val="-14"/>
          <w:w w:val="80"/>
          <w:kern w:val="48"/>
        </w:rPr>
        <w:t>,</w:t>
      </w:r>
      <w:r w:rsidR="000B7B09" w:rsidRPr="00A36633">
        <w:rPr>
          <w:bCs/>
          <w:spacing w:val="-14"/>
          <w:w w:val="80"/>
          <w:kern w:val="48"/>
        </w:rPr>
        <w:t xml:space="preserve"> (-</w:t>
      </w:r>
      <w:r w:rsidR="003806E0">
        <w:rPr>
          <w:bCs/>
          <w:spacing w:val="-14"/>
          <w:w w:val="80"/>
          <w:kern w:val="48"/>
        </w:rPr>
        <w:t>1</w:t>
      </w:r>
      <w:r w:rsidR="000B7B09" w:rsidRPr="00A36633">
        <w:rPr>
          <w:bCs/>
          <w:spacing w:val="-14"/>
          <w:w w:val="80"/>
          <w:kern w:val="48"/>
        </w:rPr>
        <w:t>8,9%) και περιορίστηκαν στα 59,9 εκ. Ευρώ</w:t>
      </w:r>
      <w:r w:rsidR="003806E0">
        <w:rPr>
          <w:bCs/>
          <w:spacing w:val="-14"/>
          <w:w w:val="80"/>
          <w:kern w:val="48"/>
        </w:rPr>
        <w:t>,</w:t>
      </w:r>
      <w:r w:rsidR="000B7B09" w:rsidRPr="00A36633">
        <w:rPr>
          <w:bCs/>
          <w:spacing w:val="-14"/>
          <w:w w:val="80"/>
          <w:kern w:val="48"/>
        </w:rPr>
        <w:t xml:space="preserve"> σε σύγκριση με 73,8 εκ. </w:t>
      </w:r>
      <w:proofErr w:type="spellStart"/>
      <w:r w:rsidR="000B7B09" w:rsidRPr="00A36633">
        <w:rPr>
          <w:bCs/>
          <w:spacing w:val="-14"/>
          <w:w w:val="80"/>
          <w:kern w:val="48"/>
        </w:rPr>
        <w:t>Ευρώ</w:t>
      </w:r>
      <w:r w:rsidR="003806E0">
        <w:rPr>
          <w:bCs/>
          <w:spacing w:val="-14"/>
          <w:w w:val="80"/>
          <w:kern w:val="48"/>
        </w:rPr>
        <w:t>,</w:t>
      </w:r>
      <w:r w:rsidR="000B7B09" w:rsidRPr="00A36633">
        <w:rPr>
          <w:bCs/>
          <w:spacing w:val="-14"/>
          <w:w w:val="80"/>
          <w:kern w:val="48"/>
        </w:rPr>
        <w:t>το</w:t>
      </w:r>
      <w:proofErr w:type="spellEnd"/>
      <w:r w:rsidR="000B7B09" w:rsidRPr="00A36633">
        <w:rPr>
          <w:bCs/>
          <w:spacing w:val="-14"/>
          <w:w w:val="80"/>
          <w:kern w:val="48"/>
        </w:rPr>
        <w:t xml:space="preserve"> 2023. Οι επιδοτήσεις μειώθηκαν</w:t>
      </w:r>
      <w:r w:rsidR="003806E0">
        <w:rPr>
          <w:bCs/>
          <w:spacing w:val="-14"/>
          <w:w w:val="80"/>
          <w:kern w:val="48"/>
        </w:rPr>
        <w:t>,</w:t>
      </w:r>
      <w:r w:rsidR="000B7B09" w:rsidRPr="00A36633">
        <w:rPr>
          <w:bCs/>
          <w:spacing w:val="-14"/>
          <w:w w:val="80"/>
          <w:kern w:val="48"/>
        </w:rPr>
        <w:t xml:space="preserve"> κατά 14,9 εκ. Ευρώ (-64,5%) και περιορίστηκαν στα 8,2 εκ. Ευρώ</w:t>
      </w:r>
      <w:r w:rsidR="003806E0">
        <w:rPr>
          <w:bCs/>
          <w:spacing w:val="-14"/>
          <w:w w:val="80"/>
          <w:kern w:val="48"/>
        </w:rPr>
        <w:t>,</w:t>
      </w:r>
      <w:r w:rsidR="000B7B09" w:rsidRPr="00A36633">
        <w:rPr>
          <w:bCs/>
          <w:spacing w:val="-14"/>
          <w:w w:val="80"/>
          <w:kern w:val="48"/>
        </w:rPr>
        <w:t xml:space="preserve"> σε σύγκριση με 23,1 εκ. Ευρώ</w:t>
      </w:r>
      <w:r w:rsidR="003806E0">
        <w:rPr>
          <w:bCs/>
          <w:spacing w:val="-14"/>
          <w:w w:val="80"/>
          <w:kern w:val="48"/>
        </w:rPr>
        <w:t>,</w:t>
      </w:r>
      <w:r w:rsidR="000B7B09" w:rsidRPr="00A36633">
        <w:rPr>
          <w:bCs/>
          <w:spacing w:val="-14"/>
          <w:w w:val="80"/>
          <w:kern w:val="48"/>
        </w:rPr>
        <w:t xml:space="preserve"> το 2023.</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21642C" w:rsidRPr="004C4036" w:rsidRDefault="00D2582D" w:rsidP="0021642C">
      <w:pPr>
        <w:widowControl w:val="0"/>
        <w:tabs>
          <w:tab w:val="left" w:pos="284"/>
        </w:tabs>
        <w:autoSpaceDE w:val="0"/>
        <w:autoSpaceDN w:val="0"/>
        <w:adjustRightInd w:val="0"/>
        <w:spacing w:after="0" w:line="220" w:lineRule="exact"/>
        <w:ind w:left="142" w:right="57"/>
        <w:jc w:val="both"/>
        <w:outlineLvl w:val="0"/>
        <w:rPr>
          <w:b/>
          <w:color w:val="31849B"/>
          <w:spacing w:val="-14"/>
          <w:w w:val="80"/>
          <w:kern w:val="48"/>
        </w:rPr>
      </w:pPr>
      <w:r w:rsidRPr="004C4036">
        <w:rPr>
          <w:b/>
          <w:color w:val="31849B"/>
          <w:spacing w:val="-14"/>
          <w:w w:val="80"/>
          <w:kern w:val="48"/>
        </w:rPr>
        <w:t>1.2</w:t>
      </w:r>
      <w:r w:rsidRPr="004C4036">
        <w:rPr>
          <w:rFonts w:cs="Arial"/>
          <w:b/>
          <w:color w:val="31849B"/>
          <w:spacing w:val="-14"/>
          <w:w w:val="80"/>
        </w:rPr>
        <w:t xml:space="preserve"> </w:t>
      </w:r>
      <w:r w:rsidR="004638DD" w:rsidRPr="004C4036">
        <w:rPr>
          <w:rFonts w:cs="Arial"/>
          <w:b/>
          <w:color w:val="31849B"/>
          <w:spacing w:val="-14"/>
          <w:w w:val="80"/>
        </w:rPr>
        <w:t xml:space="preserve">   </w:t>
      </w:r>
      <w:r w:rsidR="004638DD" w:rsidRPr="004C4036">
        <w:rPr>
          <w:rFonts w:cs="Arial"/>
          <w:b/>
          <w:bCs/>
          <w:color w:val="31849B"/>
          <w:spacing w:val="-14"/>
          <w:w w:val="80"/>
        </w:rPr>
        <w:t>Εξέλιξη Δημοσίου Χρέους της Κύπρου το 2024</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31849B"/>
          <w:spacing w:val="-14"/>
          <w:w w:val="80"/>
          <w:kern w:val="48"/>
        </w:rPr>
        <w:t xml:space="preserve">      </w:t>
      </w:r>
      <w:r w:rsidR="004638DD" w:rsidRPr="00A36633">
        <w:rPr>
          <w:rFonts w:cs="Arial"/>
          <w:spacing w:val="-14"/>
          <w:w w:val="80"/>
        </w:rPr>
        <w:t>Σε πτωτική τροχιά μπήκε</w:t>
      </w:r>
      <w:r w:rsidR="003806E0">
        <w:rPr>
          <w:rFonts w:cs="Arial"/>
          <w:spacing w:val="-14"/>
          <w:w w:val="80"/>
        </w:rPr>
        <w:t>,</w:t>
      </w:r>
      <w:r w:rsidR="004638DD" w:rsidRPr="00A36633">
        <w:rPr>
          <w:rFonts w:cs="Arial"/>
          <w:spacing w:val="-14"/>
          <w:w w:val="80"/>
        </w:rPr>
        <w:t xml:space="preserve"> το 2024</w:t>
      </w:r>
      <w:r w:rsidR="003806E0">
        <w:rPr>
          <w:rFonts w:cs="Arial"/>
          <w:spacing w:val="-14"/>
          <w:w w:val="80"/>
        </w:rPr>
        <w:t>,</w:t>
      </w:r>
      <w:r w:rsidR="004638DD" w:rsidRPr="00A36633">
        <w:rPr>
          <w:rFonts w:cs="Arial"/>
          <w:spacing w:val="-14"/>
          <w:w w:val="80"/>
        </w:rPr>
        <w:t xml:space="preserve"> το δημόσιο χρέος της Κύπρου, σύμφωνα με </w:t>
      </w:r>
      <w:r w:rsidR="003806E0">
        <w:rPr>
          <w:rFonts w:cs="Arial"/>
          <w:spacing w:val="-14"/>
          <w:w w:val="80"/>
        </w:rPr>
        <w:t>τα στοιχεία που ανακοίνωσε η κ/</w:t>
      </w:r>
      <w:r w:rsidR="004638DD" w:rsidRPr="00A36633">
        <w:rPr>
          <w:rFonts w:cs="Arial"/>
          <w:spacing w:val="-14"/>
          <w:w w:val="80"/>
        </w:rPr>
        <w:t xml:space="preserve">Στατιστική Υπηρεσία </w:t>
      </w:r>
      <w:proofErr w:type="spellStart"/>
      <w:r w:rsidR="004638DD" w:rsidRPr="00A36633">
        <w:rPr>
          <w:rFonts w:cs="Arial"/>
          <w:spacing w:val="-14"/>
          <w:w w:val="80"/>
          <w:lang w:val="en-US"/>
        </w:rPr>
        <w:t>Cystat</w:t>
      </w:r>
      <w:proofErr w:type="spellEnd"/>
      <w:r w:rsidR="003806E0">
        <w:rPr>
          <w:rFonts w:cs="Arial"/>
          <w:spacing w:val="-14"/>
          <w:w w:val="80"/>
        </w:rPr>
        <w:t>,</w:t>
      </w:r>
      <w:r w:rsidR="004638DD" w:rsidRPr="00A36633">
        <w:rPr>
          <w:rFonts w:cs="Arial"/>
          <w:spacing w:val="-14"/>
          <w:w w:val="80"/>
        </w:rPr>
        <w:t xml:space="preserve"> στα τέλη Μαρτίου </w:t>
      </w:r>
      <w:proofErr w:type="spellStart"/>
      <w:r w:rsidR="004638DD" w:rsidRPr="00A36633">
        <w:rPr>
          <w:rFonts w:cs="Arial"/>
          <w:spacing w:val="-14"/>
          <w:w w:val="80"/>
        </w:rPr>
        <w:t>τ.έ</w:t>
      </w:r>
      <w:proofErr w:type="spellEnd"/>
      <w:r w:rsidR="004638DD" w:rsidRPr="00A36633">
        <w:rPr>
          <w:rFonts w:cs="Arial"/>
          <w:spacing w:val="-14"/>
          <w:w w:val="80"/>
        </w:rPr>
        <w:t>. Σύμφωνα με αυτά τα στοιχεία</w:t>
      </w:r>
      <w:r w:rsidR="003806E0">
        <w:rPr>
          <w:rFonts w:cs="Arial"/>
          <w:spacing w:val="-14"/>
          <w:w w:val="80"/>
        </w:rPr>
        <w:t>,</w:t>
      </w:r>
      <w:r w:rsidR="004638DD" w:rsidRPr="00A36633">
        <w:rPr>
          <w:rFonts w:cs="Arial"/>
          <w:spacing w:val="-14"/>
          <w:w w:val="80"/>
        </w:rPr>
        <w:t xml:space="preserve"> το δημόσιο χρέος διαμορφώθηκε</w:t>
      </w:r>
      <w:r w:rsidR="003806E0">
        <w:rPr>
          <w:rFonts w:cs="Arial"/>
          <w:spacing w:val="-14"/>
          <w:w w:val="80"/>
        </w:rPr>
        <w:t>,</w:t>
      </w:r>
      <w:r w:rsidR="004638DD" w:rsidRPr="00A36633">
        <w:rPr>
          <w:rFonts w:cs="Arial"/>
          <w:spacing w:val="-14"/>
          <w:w w:val="80"/>
        </w:rPr>
        <w:t xml:space="preserve"> τον πρώτο μήνα του 2024</w:t>
      </w:r>
      <w:r w:rsidR="003806E0">
        <w:rPr>
          <w:rFonts w:cs="Arial"/>
          <w:spacing w:val="-14"/>
          <w:w w:val="80"/>
        </w:rPr>
        <w:t>, στα 23,008 εκ. Ευρώ από 23,036 εκ</w:t>
      </w:r>
      <w:r w:rsidR="004638DD" w:rsidRPr="00A36633">
        <w:rPr>
          <w:rFonts w:cs="Arial"/>
          <w:spacing w:val="-14"/>
          <w:w w:val="80"/>
        </w:rPr>
        <w:t>. Ευρώ</w:t>
      </w:r>
      <w:r w:rsidR="003806E0">
        <w:rPr>
          <w:rFonts w:cs="Arial"/>
          <w:spacing w:val="-14"/>
          <w:w w:val="80"/>
        </w:rPr>
        <w:t>, τον</w:t>
      </w:r>
      <w:r w:rsidR="004638DD" w:rsidRPr="00A36633">
        <w:rPr>
          <w:rFonts w:cs="Arial"/>
          <w:spacing w:val="-14"/>
          <w:w w:val="80"/>
        </w:rPr>
        <w:t xml:space="preserve"> Δε</w:t>
      </w:r>
      <w:r w:rsidR="003806E0">
        <w:rPr>
          <w:rFonts w:cs="Arial"/>
          <w:spacing w:val="-14"/>
          <w:w w:val="80"/>
        </w:rPr>
        <w:t>κέμβριο του 2023 και 23,531 εκ</w:t>
      </w:r>
      <w:r w:rsidR="004638DD" w:rsidRPr="00A36633">
        <w:rPr>
          <w:rFonts w:cs="Arial"/>
          <w:spacing w:val="-14"/>
          <w:w w:val="80"/>
        </w:rPr>
        <w:t>. Ευρώ</w:t>
      </w:r>
      <w:r w:rsidR="003806E0">
        <w:rPr>
          <w:rFonts w:cs="Arial"/>
          <w:spacing w:val="-14"/>
          <w:w w:val="80"/>
        </w:rPr>
        <w:t>,</w:t>
      </w:r>
      <w:r w:rsidR="004638DD" w:rsidRPr="00A36633">
        <w:rPr>
          <w:rFonts w:cs="Arial"/>
          <w:spacing w:val="-14"/>
          <w:w w:val="80"/>
        </w:rPr>
        <w:t xml:space="preserve"> τον Ιανουάριο του 2023.</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638DD" w:rsidRPr="00A36633">
        <w:rPr>
          <w:rFonts w:cs="Arial"/>
          <w:spacing w:val="-14"/>
          <w:w w:val="80"/>
        </w:rPr>
        <w:t xml:space="preserve"> Ως ποσοστό επί του ΑΕΠ</w:t>
      </w:r>
      <w:r w:rsidR="003806E0">
        <w:rPr>
          <w:rFonts w:cs="Arial"/>
          <w:spacing w:val="-14"/>
          <w:w w:val="80"/>
        </w:rPr>
        <w:t>,</w:t>
      </w:r>
      <w:r w:rsidR="004638DD" w:rsidRPr="00A36633">
        <w:rPr>
          <w:rFonts w:cs="Arial"/>
          <w:spacing w:val="-14"/>
          <w:w w:val="80"/>
        </w:rPr>
        <w:t xml:space="preserve"> το δημόσιο χρέος ανέρχεται στο 77,3% (πάνω από το όριο του 60%)</w:t>
      </w:r>
      <w:r w:rsidR="003806E0">
        <w:rPr>
          <w:rFonts w:cs="Arial"/>
          <w:spacing w:val="-14"/>
          <w:w w:val="80"/>
        </w:rPr>
        <w:t>,</w:t>
      </w:r>
      <w:r w:rsidR="004638DD" w:rsidRPr="00A36633">
        <w:rPr>
          <w:rFonts w:cs="Arial"/>
          <w:spacing w:val="-14"/>
          <w:w w:val="80"/>
        </w:rPr>
        <w:t xml:space="preserve"> σε σύγκριση με 77,5% τον Δεκέμβριο του 2023 και 79,1% τον Ιανουάριο του 2023. Παρά τη μείωση, που σημειώθηκε</w:t>
      </w:r>
      <w:r w:rsidR="003806E0">
        <w:rPr>
          <w:rFonts w:cs="Arial"/>
          <w:spacing w:val="-14"/>
          <w:w w:val="80"/>
        </w:rPr>
        <w:t>,</w:t>
      </w:r>
      <w:r w:rsidR="004638DD" w:rsidRPr="00A36633">
        <w:rPr>
          <w:rFonts w:cs="Arial"/>
          <w:spacing w:val="-14"/>
          <w:w w:val="80"/>
        </w:rPr>
        <w:t xml:space="preserve"> τον Ιανουάριο </w:t>
      </w:r>
      <w:proofErr w:type="spellStart"/>
      <w:r w:rsidR="004638DD" w:rsidRPr="00A36633">
        <w:rPr>
          <w:rFonts w:cs="Arial"/>
          <w:spacing w:val="-14"/>
          <w:w w:val="80"/>
        </w:rPr>
        <w:t>τ.έ</w:t>
      </w:r>
      <w:proofErr w:type="spellEnd"/>
      <w:r w:rsidR="004638DD" w:rsidRPr="00A36633">
        <w:rPr>
          <w:rFonts w:cs="Arial"/>
          <w:spacing w:val="-14"/>
          <w:w w:val="80"/>
        </w:rPr>
        <w:t>.</w:t>
      </w:r>
      <w:r w:rsidR="003806E0">
        <w:rPr>
          <w:rFonts w:cs="Arial"/>
          <w:spacing w:val="-14"/>
          <w:w w:val="80"/>
        </w:rPr>
        <w:t>,</w:t>
      </w:r>
      <w:r w:rsidR="004638DD" w:rsidRPr="00A36633">
        <w:rPr>
          <w:rFonts w:cs="Arial"/>
          <w:spacing w:val="-14"/>
          <w:w w:val="80"/>
        </w:rPr>
        <w:t xml:space="preserve"> οι δαπάνες για την εξυπηρέτηση του δημόσιου χρέους, που θα κληθεί να καλύψει ο δημόσιος προϋπολογισμός</w:t>
      </w:r>
      <w:r w:rsidR="003806E0">
        <w:rPr>
          <w:rFonts w:cs="Arial"/>
          <w:spacing w:val="-14"/>
          <w:w w:val="80"/>
        </w:rPr>
        <w:t>,</w:t>
      </w:r>
      <w:r w:rsidR="004638DD" w:rsidRPr="00A36633">
        <w:rPr>
          <w:rFonts w:cs="Arial"/>
          <w:spacing w:val="-14"/>
          <w:w w:val="80"/>
        </w:rPr>
        <w:t xml:space="preserve"> το 2024</w:t>
      </w:r>
      <w:r w:rsidR="003806E0">
        <w:rPr>
          <w:rFonts w:cs="Arial"/>
          <w:spacing w:val="-14"/>
          <w:w w:val="80"/>
        </w:rPr>
        <w:t>,</w:t>
      </w:r>
      <w:r w:rsidR="004638DD" w:rsidRPr="00A36633">
        <w:rPr>
          <w:rFonts w:cs="Arial"/>
          <w:spacing w:val="-14"/>
          <w:w w:val="80"/>
        </w:rPr>
        <w:t xml:space="preserve"> εκτιμάται ότι θα είναι διπλάσιες</w:t>
      </w:r>
      <w:r w:rsidR="003806E0">
        <w:rPr>
          <w:rFonts w:cs="Arial"/>
          <w:spacing w:val="-14"/>
          <w:w w:val="80"/>
        </w:rPr>
        <w:t>,</w:t>
      </w:r>
      <w:r w:rsidR="004638DD" w:rsidRPr="00A36633">
        <w:rPr>
          <w:rFonts w:cs="Arial"/>
          <w:spacing w:val="-14"/>
          <w:w w:val="80"/>
        </w:rPr>
        <w:t xml:space="preserve"> σε σχέση με το 2023, αντανακλώντας την αύξηση των επιτοκίων, αλλά και το κόστος, που επέφερε η ενεργοποίηση της συμφωνίας καταβολής επιτοκίου</w:t>
      </w:r>
      <w:r w:rsidR="003806E0">
        <w:rPr>
          <w:rFonts w:cs="Arial"/>
          <w:spacing w:val="-14"/>
          <w:w w:val="80"/>
        </w:rPr>
        <w:t>, επί του</w:t>
      </w:r>
      <w:r w:rsidR="004638DD" w:rsidRPr="00A36633">
        <w:rPr>
          <w:rFonts w:cs="Arial"/>
          <w:spacing w:val="-14"/>
          <w:w w:val="80"/>
        </w:rPr>
        <w:t xml:space="preserve"> </w:t>
      </w:r>
      <w:r w:rsidR="003806E0">
        <w:rPr>
          <w:rFonts w:cs="Arial"/>
          <w:spacing w:val="-14"/>
          <w:w w:val="80"/>
        </w:rPr>
        <w:t>δανεισμού</w:t>
      </w:r>
      <w:r w:rsidR="004638DD" w:rsidRPr="00A36633">
        <w:rPr>
          <w:rFonts w:cs="Arial"/>
          <w:spacing w:val="-14"/>
          <w:w w:val="80"/>
        </w:rPr>
        <w:t xml:space="preserve"> του κράτους από το ΤΚΑ (Ταμείο Κοινωνικών Ασφαλίσεων) .</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638DD" w:rsidRPr="00A36633">
        <w:rPr>
          <w:rFonts w:cs="Arial"/>
          <w:spacing w:val="-14"/>
          <w:w w:val="80"/>
        </w:rPr>
        <w:t>Το κόστος εξυπηρέτησης του δημόσιου χρέους υπολογίζεται να είναι αυξημένο</w:t>
      </w:r>
      <w:r w:rsidR="003806E0">
        <w:rPr>
          <w:rFonts w:cs="Arial"/>
          <w:spacing w:val="-14"/>
          <w:w w:val="80"/>
        </w:rPr>
        <w:t>,</w:t>
      </w:r>
      <w:r w:rsidR="004638DD" w:rsidRPr="00A36633">
        <w:rPr>
          <w:rFonts w:cs="Arial"/>
          <w:spacing w:val="-14"/>
          <w:w w:val="80"/>
        </w:rPr>
        <w:t xml:space="preserve"> κατά 91%</w:t>
      </w:r>
      <w:r w:rsidR="003806E0">
        <w:rPr>
          <w:rFonts w:cs="Arial"/>
          <w:spacing w:val="-14"/>
          <w:w w:val="80"/>
        </w:rPr>
        <w:t>,</w:t>
      </w:r>
      <w:r w:rsidR="004638DD" w:rsidRPr="00A36633">
        <w:rPr>
          <w:rFonts w:cs="Arial"/>
          <w:spacing w:val="-14"/>
          <w:w w:val="80"/>
        </w:rPr>
        <w:t xml:space="preserve"> το 2024</w:t>
      </w:r>
      <w:r w:rsidR="003806E0">
        <w:rPr>
          <w:rFonts w:cs="Arial"/>
          <w:spacing w:val="-14"/>
          <w:w w:val="80"/>
        </w:rPr>
        <w:t>,</w:t>
      </w:r>
      <w:r w:rsidR="004638DD" w:rsidRPr="00A36633">
        <w:rPr>
          <w:rFonts w:cs="Arial"/>
          <w:spacing w:val="-14"/>
          <w:w w:val="80"/>
        </w:rPr>
        <w:t xml:space="preserve"> σε σχέση με το 2023. Στην αρνητική επίδραση των αυξημένων επιτοκίων στο κόστος εξυπηρέτησης του δημοσίου χρέους, αναφέρθηκε και το κ/ Υπουργείο Οικονομικών στο μεσοπρόθεσμο δημοσιονομικό πλαίσιο</w:t>
      </w:r>
      <w:r w:rsidR="00E8251D" w:rsidRPr="00E8251D">
        <w:rPr>
          <w:rFonts w:cs="Arial"/>
          <w:spacing w:val="-14"/>
          <w:w w:val="80"/>
        </w:rPr>
        <w:t>,</w:t>
      </w:r>
      <w:r w:rsidR="004638DD" w:rsidRPr="00A36633">
        <w:rPr>
          <w:rFonts w:cs="Arial"/>
          <w:spacing w:val="-14"/>
          <w:w w:val="80"/>
        </w:rPr>
        <w:t xml:space="preserve"> για την </w:t>
      </w:r>
      <w:r w:rsidR="004638DD" w:rsidRPr="00A36633">
        <w:rPr>
          <w:rFonts w:cs="Arial"/>
          <w:spacing w:val="-14"/>
          <w:w w:val="80"/>
        </w:rPr>
        <w:lastRenderedPageBreak/>
        <w:t>τριετία 2024-2026, σημειώνοντας ότι</w:t>
      </w:r>
      <w:r w:rsidR="00294F1B">
        <w:rPr>
          <w:rFonts w:cs="Arial"/>
          <w:spacing w:val="-14"/>
          <w:w w:val="80"/>
        </w:rPr>
        <w:t>,</w:t>
      </w:r>
      <w:r w:rsidR="004638DD" w:rsidRPr="00A36633">
        <w:rPr>
          <w:rFonts w:cs="Arial"/>
          <w:spacing w:val="-14"/>
          <w:w w:val="80"/>
        </w:rPr>
        <w:t xml:space="preserve"> λόγω της αύξησης των επιτοκίων</w:t>
      </w:r>
      <w:r w:rsidR="00294F1B">
        <w:rPr>
          <w:rFonts w:cs="Arial"/>
          <w:spacing w:val="-14"/>
          <w:w w:val="80"/>
        </w:rPr>
        <w:t>,</w:t>
      </w:r>
      <w:r w:rsidR="004638DD" w:rsidRPr="00A36633">
        <w:rPr>
          <w:rFonts w:cs="Arial"/>
          <w:spacing w:val="-14"/>
          <w:w w:val="80"/>
        </w:rPr>
        <w:t xml:space="preserve"> παρατηρείται σημαντική αύξηση στις δαπάνες εξυπηρέτησης του δημό</w:t>
      </w:r>
      <w:r w:rsidR="00294F1B">
        <w:rPr>
          <w:rFonts w:cs="Arial"/>
          <w:spacing w:val="-14"/>
          <w:w w:val="80"/>
        </w:rPr>
        <w:t>σιου χρέους. Σημειώνεται ότι η Κ</w:t>
      </w:r>
      <w:r w:rsidR="004638DD" w:rsidRPr="00A36633">
        <w:rPr>
          <w:rFonts w:cs="Arial"/>
          <w:spacing w:val="-14"/>
          <w:w w:val="80"/>
        </w:rPr>
        <w:t>υπριακή Δημοκρατία καταβάλλει</w:t>
      </w:r>
      <w:r w:rsidR="00294F1B">
        <w:rPr>
          <w:rFonts w:cs="Arial"/>
          <w:spacing w:val="-14"/>
          <w:w w:val="80"/>
        </w:rPr>
        <w:t>,</w:t>
      </w:r>
      <w:r w:rsidR="004638DD" w:rsidRPr="00A36633">
        <w:rPr>
          <w:rFonts w:cs="Arial"/>
          <w:spacing w:val="-14"/>
          <w:w w:val="80"/>
        </w:rPr>
        <w:t xml:space="preserve"> ετησίως</w:t>
      </w:r>
      <w:r w:rsidR="00294F1B">
        <w:rPr>
          <w:rFonts w:cs="Arial"/>
          <w:spacing w:val="-14"/>
          <w:w w:val="80"/>
        </w:rPr>
        <w:t xml:space="preserve">, τόκους, </w:t>
      </w:r>
      <w:r w:rsidR="004638DD" w:rsidRPr="00A36633">
        <w:rPr>
          <w:rFonts w:cs="Arial"/>
          <w:spacing w:val="-14"/>
          <w:w w:val="80"/>
        </w:rPr>
        <w:t xml:space="preserve">ύψους 400-500 </w:t>
      </w:r>
      <w:r w:rsidR="00294F1B">
        <w:rPr>
          <w:rFonts w:cs="Arial"/>
          <w:spacing w:val="-14"/>
          <w:w w:val="80"/>
        </w:rPr>
        <w:t xml:space="preserve">εκ. </w:t>
      </w:r>
      <w:r w:rsidR="004638DD" w:rsidRPr="00A36633">
        <w:rPr>
          <w:rFonts w:cs="Arial"/>
          <w:spacing w:val="-14"/>
          <w:w w:val="80"/>
        </w:rPr>
        <w:t>Ευρώ για την εξυπηρέτηση του δημόσιου χρέους.</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638DD" w:rsidRPr="00A36633">
        <w:rPr>
          <w:rFonts w:cs="Arial"/>
          <w:spacing w:val="-14"/>
          <w:w w:val="80"/>
        </w:rPr>
        <w:t>Σύμφωνα με το χρηματοδοτικό πρόγραμμα το συνολικό εγκεκριμένο μέγιστο ποσό δανεισμού κατά την περίοδο Ιανουαρίου</w:t>
      </w:r>
      <w:r w:rsidR="00133F4D">
        <w:rPr>
          <w:rFonts w:cs="Arial"/>
          <w:spacing w:val="-14"/>
          <w:w w:val="80"/>
        </w:rPr>
        <w:t xml:space="preserve"> </w:t>
      </w:r>
      <w:r w:rsidR="004638DD" w:rsidRPr="00A36633">
        <w:rPr>
          <w:rFonts w:cs="Arial"/>
          <w:spacing w:val="-14"/>
          <w:w w:val="80"/>
        </w:rPr>
        <w:t>-</w:t>
      </w:r>
      <w:r w:rsidR="00133F4D">
        <w:rPr>
          <w:rFonts w:cs="Arial"/>
          <w:spacing w:val="-14"/>
          <w:w w:val="80"/>
        </w:rPr>
        <w:t xml:space="preserve"> </w:t>
      </w:r>
      <w:r w:rsidR="004638DD" w:rsidRPr="00A36633">
        <w:rPr>
          <w:rFonts w:cs="Arial"/>
          <w:spacing w:val="-14"/>
          <w:w w:val="80"/>
        </w:rPr>
        <w:t>Δεκεμβρίου 2024 ανέρχεται σε 1,3 δισ. Ευρώ, με το 1 δισ. Ευρώ να αφορά σε Ευρωπαϊκά Μεσοπρόθ</w:t>
      </w:r>
      <w:r w:rsidR="00EE42A0">
        <w:rPr>
          <w:rFonts w:cs="Arial"/>
          <w:spacing w:val="-14"/>
          <w:w w:val="80"/>
        </w:rPr>
        <w:t>εσμα Ομόλογα (ΕΜΤΝ), τα 140 εκ</w:t>
      </w:r>
      <w:r w:rsidR="004638DD" w:rsidRPr="00A36633">
        <w:rPr>
          <w:rFonts w:cs="Arial"/>
          <w:spacing w:val="-14"/>
          <w:w w:val="80"/>
        </w:rPr>
        <w:t>. Ευρώ</w:t>
      </w:r>
      <w:r w:rsidR="00EE42A0">
        <w:rPr>
          <w:rFonts w:cs="Arial"/>
          <w:spacing w:val="-14"/>
          <w:w w:val="80"/>
        </w:rPr>
        <w:t>,</w:t>
      </w:r>
      <w:r w:rsidR="004638DD" w:rsidRPr="00A36633">
        <w:rPr>
          <w:rFonts w:cs="Arial"/>
          <w:spacing w:val="-14"/>
          <w:w w:val="80"/>
        </w:rPr>
        <w:t xml:space="preserve"> σε δάνεια από υπερεθνικούς οργανισμούς (ΕΤΕ, ΤΑΣΕ), τα 120 εκατ. Ευρώ</w:t>
      </w:r>
      <w:r w:rsidR="00EE42A0">
        <w:rPr>
          <w:rFonts w:cs="Arial"/>
          <w:spacing w:val="-14"/>
          <w:w w:val="80"/>
        </w:rPr>
        <w:t>,</w:t>
      </w:r>
      <w:r w:rsidR="004638DD" w:rsidRPr="00A36633">
        <w:rPr>
          <w:rFonts w:cs="Arial"/>
          <w:spacing w:val="-14"/>
          <w:w w:val="80"/>
        </w:rPr>
        <w:t xml:space="preserve"> σε τριμηνιαία γραμμάτια δημοσίου, ενώ</w:t>
      </w:r>
      <w:r w:rsidR="00E8251D" w:rsidRPr="0021642C">
        <w:rPr>
          <w:rFonts w:cs="Arial"/>
          <w:spacing w:val="-14"/>
          <w:w w:val="80"/>
        </w:rPr>
        <w:t>,</w:t>
      </w:r>
      <w:r w:rsidR="004638DD" w:rsidRPr="00A36633">
        <w:rPr>
          <w:rFonts w:cs="Arial"/>
          <w:spacing w:val="-14"/>
          <w:w w:val="80"/>
        </w:rPr>
        <w:t xml:space="preserve"> ποσό 40 εκατ. Ευρώ</w:t>
      </w:r>
      <w:r w:rsidR="00EE42A0">
        <w:rPr>
          <w:rFonts w:cs="Arial"/>
          <w:spacing w:val="-14"/>
          <w:w w:val="80"/>
        </w:rPr>
        <w:t>,</w:t>
      </w:r>
      <w:r w:rsidR="004638DD" w:rsidRPr="00A36633">
        <w:rPr>
          <w:rFonts w:cs="Arial"/>
          <w:spacing w:val="-14"/>
          <w:w w:val="80"/>
        </w:rPr>
        <w:t xml:space="preserve"> αφορά σε εγχώρια ομόλογα προς φυσικά πρόσωπα.</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21642C" w:rsidRDefault="008C2704"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A211C3">
        <w:rPr>
          <w:rFonts w:cs="Arial"/>
          <w:b/>
          <w:bCs/>
          <w:color w:val="0070C0"/>
          <w:spacing w:val="-14"/>
          <w:w w:val="80"/>
          <w:kern w:val="48"/>
        </w:rPr>
        <w:t xml:space="preserve">1.3 </w:t>
      </w:r>
      <w:r w:rsidR="00747688" w:rsidRPr="00A211C3">
        <w:rPr>
          <w:rFonts w:cs="Arial"/>
          <w:b/>
          <w:bCs/>
          <w:color w:val="0070C0"/>
          <w:spacing w:val="-14"/>
          <w:w w:val="80"/>
          <w:kern w:val="48"/>
        </w:rPr>
        <w:t xml:space="preserve"> Εξέλιξη βασικών οικονομικών δεικτών κυπριακής οικονομίας το 2023 </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47688" w:rsidRPr="00A36633">
        <w:rPr>
          <w:spacing w:val="-14"/>
          <w:w w:val="80"/>
          <w:kern w:val="48"/>
        </w:rPr>
        <w:t>Το 2023</w:t>
      </w:r>
      <w:r w:rsidR="00EE42A0">
        <w:rPr>
          <w:spacing w:val="-14"/>
          <w:w w:val="80"/>
          <w:kern w:val="48"/>
        </w:rPr>
        <w:t>,</w:t>
      </w:r>
      <w:r w:rsidR="00747688" w:rsidRPr="00A36633">
        <w:rPr>
          <w:spacing w:val="-14"/>
          <w:w w:val="80"/>
          <w:kern w:val="48"/>
        </w:rPr>
        <w:t xml:space="preserve"> ήταν ένα έτος, το οποίο επιβεβαίωσε εκ νέου την ανθεκτικότητά της κυπριακής οικονομίας αλλά και ένα έτος, σημαντικών προκλήσεων, δεδομένης της ρευστότητας της παγκόσμιας οικονομίας</w:t>
      </w:r>
      <w:r w:rsidR="00EE42A0">
        <w:rPr>
          <w:spacing w:val="-14"/>
          <w:w w:val="80"/>
          <w:kern w:val="48"/>
        </w:rPr>
        <w:t>,</w:t>
      </w:r>
      <w:r w:rsidR="00747688" w:rsidRPr="00A36633">
        <w:rPr>
          <w:spacing w:val="-14"/>
          <w:w w:val="80"/>
          <w:kern w:val="48"/>
        </w:rPr>
        <w:t xml:space="preserve">  με τον συνεχιζόμενο πόλεμο στην Ουκρανία αλλά και τις στρατιωτικές επιχειρήσεις του Ισραήλ στη Λωρίδα της Γάζας. Το 2023</w:t>
      </w:r>
      <w:r w:rsidR="00EE42A0">
        <w:rPr>
          <w:spacing w:val="-14"/>
          <w:w w:val="80"/>
          <w:kern w:val="48"/>
        </w:rPr>
        <w:t>,</w:t>
      </w:r>
      <w:r w:rsidR="00747688" w:rsidRPr="00A36633">
        <w:rPr>
          <w:spacing w:val="-14"/>
          <w:w w:val="80"/>
          <w:kern w:val="48"/>
        </w:rPr>
        <w:t xml:space="preserve"> χαρακτηρίστηκε σε μεγάλο βαθμό από τη σημαντική οικονομική επιβράδυνση, που ωθήθηκε</w:t>
      </w:r>
      <w:r w:rsidR="00E8251D" w:rsidRPr="00E8251D">
        <w:rPr>
          <w:spacing w:val="-14"/>
          <w:w w:val="80"/>
          <w:kern w:val="48"/>
        </w:rPr>
        <w:t>,</w:t>
      </w:r>
      <w:r w:rsidR="00747688" w:rsidRPr="00A36633">
        <w:rPr>
          <w:spacing w:val="-14"/>
          <w:w w:val="80"/>
          <w:kern w:val="48"/>
        </w:rPr>
        <w:t xml:space="preserve"> </w:t>
      </w:r>
      <w:r w:rsidR="00E8251D">
        <w:rPr>
          <w:spacing w:val="-14"/>
          <w:w w:val="80"/>
          <w:kern w:val="48"/>
          <w:lang w:val="en-US"/>
        </w:rPr>
        <w:t>k</w:t>
      </w:r>
      <w:proofErr w:type="spellStart"/>
      <w:r w:rsidR="00747688" w:rsidRPr="00A36633">
        <w:rPr>
          <w:spacing w:val="-14"/>
          <w:w w:val="80"/>
          <w:kern w:val="48"/>
        </w:rPr>
        <w:t>υρίως</w:t>
      </w:r>
      <w:proofErr w:type="spellEnd"/>
      <w:r w:rsidR="00E8251D" w:rsidRPr="00E8251D">
        <w:rPr>
          <w:spacing w:val="-14"/>
          <w:w w:val="80"/>
          <w:kern w:val="48"/>
        </w:rPr>
        <w:t>,</w:t>
      </w:r>
      <w:r w:rsidR="00747688" w:rsidRPr="00A36633">
        <w:rPr>
          <w:spacing w:val="-14"/>
          <w:w w:val="80"/>
          <w:kern w:val="48"/>
        </w:rPr>
        <w:t xml:space="preserve"> από τον κύκλο επιθετικών αυξήσεων επιτοκίων από τις κυριότερες κεντρικές τράπεζες του πλανήτη. </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47688" w:rsidRPr="00A36633">
        <w:rPr>
          <w:spacing w:val="-14"/>
          <w:w w:val="80"/>
          <w:kern w:val="48"/>
        </w:rPr>
        <w:t>Για το 2023, ο ρυθμός ανάπτυξης της κυπριακής οικονομίας προβλέπεται να καταγραφεί</w:t>
      </w:r>
      <w:r w:rsidR="00E8251D" w:rsidRPr="00E8251D">
        <w:rPr>
          <w:spacing w:val="-14"/>
          <w:w w:val="80"/>
          <w:kern w:val="48"/>
        </w:rPr>
        <w:t>,</w:t>
      </w:r>
      <w:r w:rsidR="00747688" w:rsidRPr="00A36633">
        <w:rPr>
          <w:spacing w:val="-14"/>
          <w:w w:val="80"/>
          <w:kern w:val="48"/>
        </w:rPr>
        <w:t xml:space="preserve"> πέριξ του 2,4%. Ο μέσος ρυθμός ανάπτυξης της οικονομίας</w:t>
      </w:r>
      <w:r w:rsidR="00EE42A0">
        <w:rPr>
          <w:spacing w:val="-14"/>
          <w:w w:val="80"/>
          <w:kern w:val="48"/>
        </w:rPr>
        <w:t>,</w:t>
      </w:r>
      <w:r w:rsidR="00747688" w:rsidRPr="00A36633">
        <w:rPr>
          <w:spacing w:val="-14"/>
          <w:w w:val="80"/>
          <w:kern w:val="48"/>
        </w:rPr>
        <w:t xml:space="preserve"> κατά τους πρώτους εννιά μήνες</w:t>
      </w:r>
      <w:r w:rsidR="00EE42A0">
        <w:rPr>
          <w:spacing w:val="-14"/>
          <w:w w:val="80"/>
          <w:kern w:val="48"/>
        </w:rPr>
        <w:t>,</w:t>
      </w:r>
      <w:r w:rsidR="00747688" w:rsidRPr="00A36633">
        <w:rPr>
          <w:spacing w:val="-14"/>
          <w:w w:val="80"/>
          <w:kern w:val="48"/>
        </w:rPr>
        <w:t xml:space="preserve"> του 2023</w:t>
      </w:r>
      <w:r w:rsidR="00EE42A0">
        <w:rPr>
          <w:spacing w:val="-14"/>
          <w:w w:val="80"/>
          <w:kern w:val="48"/>
        </w:rPr>
        <w:t>,</w:t>
      </w:r>
      <w:r w:rsidR="00747688" w:rsidRPr="00A36633">
        <w:rPr>
          <w:spacing w:val="-14"/>
          <w:w w:val="80"/>
          <w:kern w:val="48"/>
        </w:rPr>
        <w:t xml:space="preserve"> υπολογίζεται σε 2,5%, σημειώνοντας σημαντική επιβράδυνση, σε σχέση με την αντίστοιχη περίοδο</w:t>
      </w:r>
      <w:r w:rsidR="00EE42A0">
        <w:rPr>
          <w:spacing w:val="-14"/>
          <w:w w:val="80"/>
          <w:kern w:val="48"/>
        </w:rPr>
        <w:t>,</w:t>
      </w:r>
      <w:r w:rsidR="00747688" w:rsidRPr="00A36633">
        <w:rPr>
          <w:spacing w:val="-14"/>
          <w:w w:val="80"/>
          <w:kern w:val="48"/>
        </w:rPr>
        <w:t xml:space="preserve"> του 2022, που βρισκόταν στο 5,8%, με την αβεβαιότητα και τα υψηλά επιτόκια να επιβραδύνουν την οικονομική δραστηριότητα. Πάντως, η κυπριακή οικονομία κατέγραψε πολλαπλάσιο ρυθμό ανάπτυξης τους πρώτους εννέα μήνες του έτους, σε σύγκριση με το</w:t>
      </w:r>
      <w:r w:rsidR="00EE42A0">
        <w:rPr>
          <w:spacing w:val="-14"/>
          <w:w w:val="80"/>
          <w:kern w:val="48"/>
        </w:rPr>
        <w:t xml:space="preserve"> μόλις 0,6% του μέσου όρου της Ε</w:t>
      </w:r>
      <w:r w:rsidR="00747688" w:rsidRPr="00A36633">
        <w:rPr>
          <w:spacing w:val="-14"/>
          <w:w w:val="80"/>
          <w:kern w:val="48"/>
        </w:rPr>
        <w:t>υρωζώνης και του 0,5%, του μέσου όρου της ΕΕ.  Σε σύγκριση με το 2ο τρίμηνο του 2023, η Κύπρος κατέγραψε τη 2η μεγαλύτερη αύξηση</w:t>
      </w:r>
      <w:r w:rsidR="00EE42A0">
        <w:rPr>
          <w:spacing w:val="-14"/>
          <w:w w:val="80"/>
          <w:kern w:val="48"/>
        </w:rPr>
        <w:t>,</w:t>
      </w:r>
      <w:r w:rsidR="00747688" w:rsidRPr="00A36633">
        <w:rPr>
          <w:spacing w:val="-14"/>
          <w:w w:val="80"/>
          <w:kern w:val="48"/>
        </w:rPr>
        <w:t xml:space="preserve"> μετά την Πολωνία, ενώ η Ε.Ε. παρουσιάζει μηδενικό ρυθμό ανάπτυξης και η Ευρωζώνη</w:t>
      </w:r>
      <w:r w:rsidR="00EE42A0">
        <w:rPr>
          <w:spacing w:val="-14"/>
          <w:w w:val="80"/>
          <w:kern w:val="48"/>
        </w:rPr>
        <w:t>,</w:t>
      </w:r>
      <w:r w:rsidR="00747688" w:rsidRPr="00A36633">
        <w:rPr>
          <w:spacing w:val="-14"/>
          <w:w w:val="80"/>
          <w:kern w:val="48"/>
        </w:rPr>
        <w:t xml:space="preserve"> οριακά αρνητικό ρυθμό ανάπτυξης (-0,1%).</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47688" w:rsidRPr="00A36633">
        <w:rPr>
          <w:spacing w:val="-14"/>
          <w:w w:val="80"/>
          <w:kern w:val="48"/>
        </w:rPr>
        <w:t>Σε ότι αφορά στον πληθωρισμό</w:t>
      </w:r>
      <w:r w:rsidR="00EE42A0">
        <w:rPr>
          <w:spacing w:val="-14"/>
          <w:w w:val="80"/>
          <w:kern w:val="48"/>
        </w:rPr>
        <w:t xml:space="preserve">, </w:t>
      </w:r>
      <w:r w:rsidR="00747688" w:rsidRPr="00A36633">
        <w:rPr>
          <w:spacing w:val="-14"/>
          <w:w w:val="80"/>
          <w:kern w:val="48"/>
        </w:rPr>
        <w:t xml:space="preserve"> παρά την αύξηση των δανειστικών επιτοκίων, αυτός εξακολουθεί να βρίσκεται σε υψηλά επίπεδα, αν και μειωμένος σε σχέση με το 8% του 2022. Συγκεκριμένα, εκτιμάται ότι</w:t>
      </w:r>
      <w:r w:rsidR="00032469">
        <w:rPr>
          <w:spacing w:val="-14"/>
          <w:w w:val="80"/>
          <w:kern w:val="48"/>
        </w:rPr>
        <w:t>,</w:t>
      </w:r>
      <w:r w:rsidR="00747688" w:rsidRPr="00A36633">
        <w:rPr>
          <w:spacing w:val="-14"/>
          <w:w w:val="80"/>
          <w:kern w:val="48"/>
        </w:rPr>
        <w:t xml:space="preserve"> για το έτος 2023</w:t>
      </w:r>
      <w:r w:rsidR="00032469">
        <w:rPr>
          <w:spacing w:val="-14"/>
          <w:w w:val="80"/>
          <w:kern w:val="48"/>
        </w:rPr>
        <w:t>,</w:t>
      </w:r>
      <w:r w:rsidR="00747688" w:rsidRPr="00A36633">
        <w:rPr>
          <w:spacing w:val="-14"/>
          <w:w w:val="80"/>
          <w:kern w:val="48"/>
        </w:rPr>
        <w:t xml:space="preserve"> θα ανέλθει γύρω στο 4%. Τον Οκτώβριο του 2023</w:t>
      </w:r>
      <w:r w:rsidR="00032469">
        <w:rPr>
          <w:spacing w:val="-14"/>
          <w:w w:val="80"/>
          <w:kern w:val="48"/>
        </w:rPr>
        <w:t>,</w:t>
      </w:r>
      <w:r w:rsidR="00747688" w:rsidRPr="00A36633">
        <w:rPr>
          <w:spacing w:val="-14"/>
          <w:w w:val="80"/>
          <w:kern w:val="48"/>
        </w:rPr>
        <w:t xml:space="preserve"> παρουσίασε αύξηση 3,6%, σε σχέση με 4,3%</w:t>
      </w:r>
      <w:r w:rsidR="00032469">
        <w:rPr>
          <w:spacing w:val="-14"/>
          <w:w w:val="80"/>
          <w:kern w:val="48"/>
        </w:rPr>
        <w:t>,</w:t>
      </w:r>
      <w:r w:rsidR="00747688" w:rsidRPr="00A36633">
        <w:rPr>
          <w:spacing w:val="-14"/>
          <w:w w:val="80"/>
          <w:kern w:val="48"/>
        </w:rPr>
        <w:t xml:space="preserve"> τον Σεπτέμβριο του 2023. Για την περίοδο Ιανουαρίου</w:t>
      </w:r>
      <w:r w:rsidR="00E8251D" w:rsidRPr="00E8251D">
        <w:rPr>
          <w:spacing w:val="-14"/>
          <w:w w:val="80"/>
          <w:kern w:val="48"/>
        </w:rPr>
        <w:t xml:space="preserve"> </w:t>
      </w:r>
      <w:r w:rsidR="00747688" w:rsidRPr="00A36633">
        <w:rPr>
          <w:spacing w:val="-14"/>
          <w:w w:val="80"/>
          <w:kern w:val="48"/>
        </w:rPr>
        <w:t>-</w:t>
      </w:r>
      <w:r w:rsidR="00E8251D" w:rsidRPr="00E8251D">
        <w:rPr>
          <w:spacing w:val="-14"/>
          <w:w w:val="80"/>
          <w:kern w:val="48"/>
        </w:rPr>
        <w:t xml:space="preserve"> </w:t>
      </w:r>
      <w:r w:rsidR="00747688" w:rsidRPr="00A36633">
        <w:rPr>
          <w:spacing w:val="-14"/>
          <w:w w:val="80"/>
          <w:kern w:val="48"/>
        </w:rPr>
        <w:t>Οκτωβρίου 2023</w:t>
      </w:r>
      <w:r w:rsidR="00EE42A0">
        <w:rPr>
          <w:spacing w:val="-14"/>
          <w:w w:val="80"/>
          <w:kern w:val="48"/>
        </w:rPr>
        <w:t>,</w:t>
      </w:r>
      <w:r w:rsidR="00747688" w:rsidRPr="00A36633">
        <w:rPr>
          <w:spacing w:val="-14"/>
          <w:w w:val="80"/>
          <w:kern w:val="48"/>
        </w:rPr>
        <w:t xml:space="preserve"> εκτιμάται  ότι  παρουσίασε αύξηση</w:t>
      </w:r>
      <w:r w:rsidR="00032469">
        <w:rPr>
          <w:spacing w:val="-14"/>
          <w:w w:val="80"/>
          <w:kern w:val="48"/>
        </w:rPr>
        <w:t>,</w:t>
      </w:r>
      <w:r w:rsidR="00747688" w:rsidRPr="00A36633">
        <w:rPr>
          <w:spacing w:val="-14"/>
          <w:w w:val="80"/>
          <w:kern w:val="48"/>
        </w:rPr>
        <w:t xml:space="preserve"> 4,3%, σε σχέση με την αντίστοιχη περίοδο του προηγουμένου έτους. Για το 2024</w:t>
      </w:r>
      <w:r w:rsidR="00032469">
        <w:rPr>
          <w:spacing w:val="-14"/>
          <w:w w:val="80"/>
          <w:kern w:val="48"/>
        </w:rPr>
        <w:t>,</w:t>
      </w:r>
      <w:r w:rsidR="00747688" w:rsidRPr="00A36633">
        <w:rPr>
          <w:spacing w:val="-14"/>
          <w:w w:val="80"/>
          <w:kern w:val="48"/>
        </w:rPr>
        <w:t xml:space="preserve"> εκτιμάται ότι ο πληθωρισμός αναμένεται να περιοριστεί στο 2,5%.</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47688" w:rsidRPr="00A36633">
        <w:rPr>
          <w:spacing w:val="-14"/>
          <w:w w:val="80"/>
          <w:kern w:val="48"/>
        </w:rPr>
        <w:t>Στο μεταξύ, η ανεργία βρίσκεται σε σχετικά χαμηλά επίπεδα. Η μηνιαία εποχικά διορθωμένη ανεργία μειώθηκε στο 5,8%</w:t>
      </w:r>
      <w:r w:rsidR="00194BE0">
        <w:rPr>
          <w:spacing w:val="-14"/>
          <w:w w:val="80"/>
          <w:kern w:val="48"/>
        </w:rPr>
        <w:t>, το</w:t>
      </w:r>
      <w:r w:rsidR="00747688" w:rsidRPr="00A36633">
        <w:rPr>
          <w:spacing w:val="-14"/>
          <w:w w:val="80"/>
          <w:kern w:val="48"/>
        </w:rPr>
        <w:t xml:space="preserve"> Νοέμβριο του 2023, σε σχέση με 6,8% τον αντίστοιχο μήνα του 2022. Για το σύνολο του έτους, αναμένεται να διαμορφωθεί στο 6,4%, ενώ σύμφωνα με εκτίμηση του Υπουργείου Οικονομικών</w:t>
      </w:r>
      <w:r w:rsidR="00032469">
        <w:rPr>
          <w:spacing w:val="-14"/>
          <w:w w:val="80"/>
          <w:kern w:val="48"/>
        </w:rPr>
        <w:t>,</w:t>
      </w:r>
      <w:r w:rsidR="00747688" w:rsidRPr="00A36633">
        <w:rPr>
          <w:spacing w:val="-14"/>
          <w:w w:val="80"/>
          <w:kern w:val="48"/>
        </w:rPr>
        <w:t xml:space="preserve"> το 2024 αναμένεται να κυμανθεί στο 5,8%.</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47688" w:rsidRPr="00A36633">
        <w:rPr>
          <w:spacing w:val="-14"/>
          <w:w w:val="80"/>
          <w:kern w:val="48"/>
        </w:rPr>
        <w:t>Σημαντική μακροοικονομική εξέλιξη, το 2023, αποτελεί η μεγάλη διόρθωση του δείκτη χρέους ως προς το ΑΕΠ. Συγκεκριμένα</w:t>
      </w:r>
      <w:r w:rsidR="00194BE0">
        <w:rPr>
          <w:spacing w:val="-14"/>
          <w:w w:val="80"/>
          <w:kern w:val="48"/>
        </w:rPr>
        <w:t>,</w:t>
      </w:r>
      <w:r w:rsidR="00747688" w:rsidRPr="00A36633">
        <w:rPr>
          <w:spacing w:val="-14"/>
          <w:w w:val="80"/>
          <w:kern w:val="48"/>
        </w:rPr>
        <w:t xml:space="preserve"> κατά το 2023</w:t>
      </w:r>
      <w:r w:rsidR="00194BE0">
        <w:rPr>
          <w:spacing w:val="-14"/>
          <w:w w:val="80"/>
          <w:kern w:val="48"/>
        </w:rPr>
        <w:t>,</w:t>
      </w:r>
      <w:r w:rsidR="00747688" w:rsidRPr="00A36633">
        <w:rPr>
          <w:spacing w:val="-14"/>
          <w:w w:val="80"/>
          <w:kern w:val="48"/>
        </w:rPr>
        <w:t xml:space="preserve"> συνεχίστηκε η πτωτική πορεία του δημοσίου χρέους, το οποίο είχε κορυφωθεί σχεδόν στο 118%</w:t>
      </w:r>
      <w:r w:rsidR="00932803">
        <w:rPr>
          <w:spacing w:val="-14"/>
          <w:w w:val="80"/>
          <w:kern w:val="48"/>
        </w:rPr>
        <w:t>,</w:t>
      </w:r>
      <w:r w:rsidR="00747688" w:rsidRPr="00A36633">
        <w:rPr>
          <w:spacing w:val="-14"/>
          <w:w w:val="80"/>
          <w:kern w:val="48"/>
        </w:rPr>
        <w:t xml:space="preserve"> τον Οκτώβριο του 2020, όταν η κυβέρνηση είχε προβεί σε μεγάλες εκδόσεις χρέους, σε μια προσπάθεια να αποκτήσει τα αναγκαία αποθέματα  για να αντιμετωπίσει την κρίση του Covid-19. Με βάση τα τελευταία διαθέσιμα στοιχεία, τον Οκτώβριο του 2023 ο δείκτης χρέους ως προς το ΑΕΠ υποχώρησε στο 78%, καταγράφοντας μια τεράστια μείωση της τάξης τω</w:t>
      </w:r>
      <w:r w:rsidR="00E8251D">
        <w:rPr>
          <w:spacing w:val="-14"/>
          <w:w w:val="80"/>
          <w:kern w:val="48"/>
        </w:rPr>
        <w:t>ν 40 ποσοστιαίων μονάδων,</w:t>
      </w:r>
      <w:r w:rsidR="00747688" w:rsidRPr="00A36633">
        <w:rPr>
          <w:spacing w:val="-14"/>
          <w:w w:val="80"/>
          <w:kern w:val="48"/>
        </w:rPr>
        <w:t xml:space="preserve"> η οποία θεωρείται από τις μεγαλύτερες στην ΕΕ. Η μείωση </w:t>
      </w:r>
      <w:r w:rsidR="00E8251D">
        <w:rPr>
          <w:spacing w:val="-14"/>
          <w:w w:val="80"/>
          <w:kern w:val="48"/>
        </w:rPr>
        <w:t xml:space="preserve">αυτή </w:t>
      </w:r>
      <w:r w:rsidR="00747688" w:rsidRPr="00A36633">
        <w:rPr>
          <w:spacing w:val="-14"/>
          <w:w w:val="80"/>
          <w:kern w:val="48"/>
        </w:rPr>
        <w:t>ωθείται από τις αποπληρωμές ομολόγων αλλά και την ανάπτυξη του ονομαστικού ΑΕΠ, λόγω και του πληθωρισμού. Σε απόλυτους αριθμούς, το χρέος ανήλθε</w:t>
      </w:r>
      <w:r w:rsidR="00932803">
        <w:rPr>
          <w:spacing w:val="-14"/>
          <w:w w:val="80"/>
          <w:kern w:val="48"/>
        </w:rPr>
        <w:t>,</w:t>
      </w:r>
      <w:r w:rsidR="00747688" w:rsidRPr="00A36633">
        <w:rPr>
          <w:spacing w:val="-14"/>
          <w:w w:val="80"/>
          <w:kern w:val="48"/>
        </w:rPr>
        <w:t xml:space="preserve"> στο τέλος Οκτωβρίου</w:t>
      </w:r>
      <w:r w:rsidR="00E8251D">
        <w:rPr>
          <w:spacing w:val="-14"/>
          <w:w w:val="80"/>
          <w:kern w:val="48"/>
        </w:rPr>
        <w:t>,</w:t>
      </w:r>
      <w:r w:rsidR="00747688" w:rsidRPr="00A36633">
        <w:rPr>
          <w:spacing w:val="-14"/>
          <w:w w:val="80"/>
          <w:kern w:val="48"/>
        </w:rPr>
        <w:t xml:space="preserve"> στα 23,18 δισ. Ευρώ, παρουσιάζοντας μείωση κατά 1,2 δισ. Ευρώ.</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47688" w:rsidRPr="00A36633">
        <w:rPr>
          <w:spacing w:val="-14"/>
          <w:w w:val="80"/>
          <w:kern w:val="48"/>
        </w:rPr>
        <w:t>Στον τραπεζικό τομέα, η άνοδος των επιτοκίων έδωσε ώθηση στην κερδοφορία των τραπεζών. Μέχρι το τέλος του 9μήνου του 2023, η καθαρή κερδοφορία του κυπριακού τραπεζικού συστήματος (μετά τη φορολογία) έφτασε σχεδόν τα 900 εκατ. Ευρώ. Η υψηλή κερδοφορία επέτρεψε σε τράπεζες να αρχίζουν την παραχώρηση μερισμάτων στους μετόχους τους, αφού ήρθη η σχετική απαγόρευση, που ίσχυε εδώ και δώδεκα και πλέον χρόνια. Τα συνολικά περιουσιακά στοιχεία του τραπεζικού συστήματος ανήλθαν</w:t>
      </w:r>
      <w:r w:rsidR="00932803">
        <w:rPr>
          <w:spacing w:val="-14"/>
          <w:w w:val="80"/>
          <w:kern w:val="48"/>
        </w:rPr>
        <w:t>,</w:t>
      </w:r>
      <w:r w:rsidR="00747688" w:rsidRPr="00A36633">
        <w:rPr>
          <w:spacing w:val="-14"/>
          <w:w w:val="80"/>
          <w:kern w:val="48"/>
        </w:rPr>
        <w:t xml:space="preserve"> στο τέλος Σεπτεμβρίου του 2023</w:t>
      </w:r>
      <w:r w:rsidR="00932803">
        <w:rPr>
          <w:spacing w:val="-14"/>
          <w:w w:val="80"/>
          <w:kern w:val="48"/>
        </w:rPr>
        <w:t>,</w:t>
      </w:r>
      <w:r w:rsidR="00747688" w:rsidRPr="00A36633">
        <w:rPr>
          <w:spacing w:val="-14"/>
          <w:w w:val="80"/>
          <w:kern w:val="48"/>
        </w:rPr>
        <w:t xml:space="preserve"> στα 65 δισ. Ευρώ, ενώ τα κύρια βασικά ίδια κεφάλαια (κεφάλαια CET1) ανήλθαν στο 19%, με την αυξημένη κερδοφορία να ενισχύει την εσωτερική ικανότητα δημιουργίας κεφαλαίων για τις κυπριακές τράπεζες. Παρά την άνοδο των επιτοκίων, τα νέα δάνεια παρο</w:t>
      </w:r>
      <w:r w:rsidR="00932803">
        <w:rPr>
          <w:spacing w:val="-14"/>
          <w:w w:val="80"/>
          <w:kern w:val="48"/>
        </w:rPr>
        <w:t>υσίασαν</w:t>
      </w:r>
      <w:r w:rsidR="00E8251D">
        <w:rPr>
          <w:spacing w:val="-14"/>
          <w:w w:val="80"/>
          <w:kern w:val="48"/>
        </w:rPr>
        <w:t>,</w:t>
      </w:r>
      <w:r w:rsidR="00932803">
        <w:rPr>
          <w:spacing w:val="-14"/>
          <w:w w:val="80"/>
          <w:kern w:val="48"/>
        </w:rPr>
        <w:t xml:space="preserve"> την περίοδο Ιανουαρίου –</w:t>
      </w:r>
      <w:r w:rsidR="00747688" w:rsidRPr="00A36633">
        <w:rPr>
          <w:spacing w:val="-14"/>
          <w:w w:val="80"/>
          <w:kern w:val="48"/>
        </w:rPr>
        <w:t xml:space="preserve"> Οκτωβρίου</w:t>
      </w:r>
      <w:r w:rsidR="00932803">
        <w:rPr>
          <w:spacing w:val="-14"/>
          <w:w w:val="80"/>
          <w:kern w:val="48"/>
        </w:rPr>
        <w:t>,</w:t>
      </w:r>
      <w:r w:rsidR="00747688" w:rsidRPr="00A36633">
        <w:rPr>
          <w:spacing w:val="-14"/>
          <w:w w:val="80"/>
          <w:kern w:val="48"/>
        </w:rPr>
        <w:t xml:space="preserve"> ετήσια άνοδο 5,4% και διαμορφώθηκαν στα 2,7 δισ. Ευρώ, ωθούμενα κυρίως από την άνοδο μεγάλων εταιρικών δανείων, ενώ αυξημένα ήταν και τα στεγαστικά δάνεια.</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47688" w:rsidRPr="00A36633">
        <w:rPr>
          <w:spacing w:val="-14"/>
          <w:w w:val="80"/>
          <w:kern w:val="48"/>
        </w:rPr>
        <w:t>Στον τομέα των εργασιακών σχέσεων, μετά την εφαρμογή του εθνικού κατώτατου μισθού</w:t>
      </w:r>
      <w:r w:rsidR="00E8251D">
        <w:rPr>
          <w:spacing w:val="-14"/>
          <w:w w:val="80"/>
          <w:kern w:val="48"/>
        </w:rPr>
        <w:t>,</w:t>
      </w:r>
      <w:r w:rsidR="00747688" w:rsidRPr="00A36633">
        <w:rPr>
          <w:spacing w:val="-14"/>
          <w:w w:val="80"/>
          <w:kern w:val="48"/>
        </w:rPr>
        <w:t xml:space="preserve"> για πρώτη φορά</w:t>
      </w:r>
      <w:r w:rsidR="00932803">
        <w:rPr>
          <w:spacing w:val="-14"/>
          <w:w w:val="80"/>
          <w:kern w:val="48"/>
        </w:rPr>
        <w:t>,</w:t>
      </w:r>
      <w:r w:rsidR="00747688" w:rsidRPr="00A36633">
        <w:rPr>
          <w:spacing w:val="-14"/>
          <w:w w:val="80"/>
          <w:kern w:val="48"/>
        </w:rPr>
        <w:t xml:space="preserve"> στις αρχές του 2023, βρίσκονται σε εξέλιξη διεργασίες αναπροσαρμογής του</w:t>
      </w:r>
      <w:r w:rsidR="00E8251D">
        <w:rPr>
          <w:spacing w:val="-14"/>
          <w:w w:val="80"/>
          <w:kern w:val="48"/>
        </w:rPr>
        <w:t>,</w:t>
      </w:r>
      <w:r w:rsidR="00747688" w:rsidRPr="00A36633">
        <w:rPr>
          <w:spacing w:val="-14"/>
          <w:w w:val="80"/>
          <w:kern w:val="48"/>
        </w:rPr>
        <w:t xml:space="preserve"> στο τέλος του έτους, προκειμένου η απόδοσή </w:t>
      </w:r>
      <w:r w:rsidR="00747688" w:rsidRPr="00A36633">
        <w:rPr>
          <w:spacing w:val="-14"/>
          <w:w w:val="80"/>
          <w:kern w:val="48"/>
        </w:rPr>
        <w:lastRenderedPageBreak/>
        <w:t>του</w:t>
      </w:r>
      <w:r w:rsidR="00E8251D">
        <w:rPr>
          <w:spacing w:val="-14"/>
          <w:w w:val="80"/>
          <w:kern w:val="48"/>
        </w:rPr>
        <w:t>,</w:t>
      </w:r>
      <w:r w:rsidR="00747688" w:rsidRPr="00A36633">
        <w:rPr>
          <w:spacing w:val="-14"/>
          <w:w w:val="80"/>
          <w:kern w:val="48"/>
        </w:rPr>
        <w:t xml:space="preserve"> από τις αρχές του νέου έτους</w:t>
      </w:r>
      <w:r w:rsidR="00E8251D">
        <w:rPr>
          <w:spacing w:val="-14"/>
          <w:w w:val="80"/>
          <w:kern w:val="48"/>
        </w:rPr>
        <w:t>,</w:t>
      </w:r>
      <w:r w:rsidR="00747688" w:rsidRPr="00A36633">
        <w:rPr>
          <w:spacing w:val="-14"/>
          <w:w w:val="80"/>
          <w:kern w:val="48"/>
        </w:rPr>
        <w:t xml:space="preserve"> να καλύπτει το αυξημένο κόστος διαβίωσης. Κατά τη διάρκεια της χρονιάς, επετεύχθη επίσης συμφωνία αναπροσαρμογής της απόδοσης της ΑΤΑ (Αυτόματης Τιμαριθμικής Αναπροσαρμογής), αυξάνοντας το ποσοστό</w:t>
      </w:r>
      <w:r w:rsidR="00932803">
        <w:rPr>
          <w:spacing w:val="-14"/>
          <w:w w:val="80"/>
          <w:kern w:val="48"/>
        </w:rPr>
        <w:t>,</w:t>
      </w:r>
      <w:r w:rsidR="00747688" w:rsidRPr="00A36633">
        <w:rPr>
          <w:spacing w:val="-14"/>
          <w:w w:val="80"/>
          <w:kern w:val="48"/>
        </w:rPr>
        <w:t xml:space="preserve"> από το 50% του πληθωρισμού του προηγούμενου έτους</w:t>
      </w:r>
      <w:r w:rsidR="00932803">
        <w:rPr>
          <w:spacing w:val="-14"/>
          <w:w w:val="80"/>
          <w:kern w:val="48"/>
        </w:rPr>
        <w:t>,</w:t>
      </w:r>
      <w:r w:rsidR="00747688" w:rsidRPr="00A36633">
        <w:rPr>
          <w:spacing w:val="-14"/>
          <w:w w:val="80"/>
          <w:kern w:val="48"/>
        </w:rPr>
        <w:t xml:space="preserve"> στο 66,7%, ξεκινώντας</w:t>
      </w:r>
      <w:r w:rsidR="00E8251D">
        <w:rPr>
          <w:spacing w:val="-14"/>
          <w:w w:val="80"/>
          <w:kern w:val="48"/>
        </w:rPr>
        <w:t>,</w:t>
      </w:r>
      <w:r w:rsidR="00747688" w:rsidRPr="00A36633">
        <w:rPr>
          <w:spacing w:val="-14"/>
          <w:w w:val="80"/>
          <w:kern w:val="48"/>
        </w:rPr>
        <w:t xml:space="preserve"> από τον Ιούνιο 2023, ενώ ο Κοινωνικός Διάλογος για την κατάληξη σε ολοκληρωμένη και μόνιμη συμφωνία αναμένεται να ολοκληρωθεί</w:t>
      </w:r>
      <w:r w:rsidR="00E8251D">
        <w:rPr>
          <w:spacing w:val="-14"/>
          <w:w w:val="80"/>
          <w:kern w:val="48"/>
        </w:rPr>
        <w:t>,</w:t>
      </w:r>
      <w:r w:rsidR="00747688" w:rsidRPr="00A36633">
        <w:rPr>
          <w:spacing w:val="-14"/>
          <w:w w:val="80"/>
          <w:kern w:val="48"/>
        </w:rPr>
        <w:t xml:space="preserve"> μέχρι τον Ιούνιο του 2025.</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spacing w:val="-14"/>
          <w:w w:val="80"/>
          <w:kern w:val="48"/>
        </w:rPr>
      </w:pPr>
      <w:r>
        <w:rPr>
          <w:b/>
          <w:color w:val="0070C0"/>
          <w:spacing w:val="-14"/>
          <w:w w:val="80"/>
          <w:kern w:val="48"/>
        </w:rPr>
        <w:t xml:space="preserve">      </w:t>
      </w:r>
      <w:r w:rsidR="00747688" w:rsidRPr="00A36633">
        <w:rPr>
          <w:spacing w:val="-14"/>
          <w:w w:val="80"/>
          <w:kern w:val="48"/>
        </w:rPr>
        <w:t>Η θετική πορεία της κ/οικονομίας</w:t>
      </w:r>
      <w:r w:rsidR="00294F1B">
        <w:rPr>
          <w:spacing w:val="-14"/>
          <w:w w:val="80"/>
          <w:kern w:val="48"/>
        </w:rPr>
        <w:t>,</w:t>
      </w:r>
      <w:r w:rsidR="00747688" w:rsidRPr="00A36633">
        <w:rPr>
          <w:spacing w:val="-14"/>
          <w:w w:val="80"/>
          <w:kern w:val="48"/>
        </w:rPr>
        <w:t xml:space="preserve"> το 2023</w:t>
      </w:r>
      <w:r w:rsidR="00294F1B">
        <w:rPr>
          <w:spacing w:val="-14"/>
          <w:w w:val="80"/>
          <w:kern w:val="48"/>
        </w:rPr>
        <w:t>,</w:t>
      </w:r>
      <w:r w:rsidR="00747688" w:rsidRPr="00A36633">
        <w:rPr>
          <w:spacing w:val="-14"/>
          <w:w w:val="80"/>
          <w:kern w:val="48"/>
        </w:rPr>
        <w:t xml:space="preserve"> και η θετική εξέλιξη των μακροοικονομικών αντικατοπτρίζεται και στην αναβάθμιση της Κύπρου από 3 οίκους αξιολόγησης</w:t>
      </w:r>
      <w:r w:rsidR="00294F1B">
        <w:rPr>
          <w:spacing w:val="-14"/>
          <w:w w:val="80"/>
          <w:kern w:val="48"/>
        </w:rPr>
        <w:t>,</w:t>
      </w:r>
      <w:r w:rsidR="00747688" w:rsidRPr="00A36633">
        <w:rPr>
          <w:spacing w:val="-14"/>
          <w:w w:val="80"/>
          <w:kern w:val="48"/>
        </w:rPr>
        <w:t xml:space="preserve"> εντός του συγκεκριμένου έτους, με προεξάρχουσα</w:t>
      </w:r>
      <w:r w:rsidR="00E8251D">
        <w:rPr>
          <w:spacing w:val="-14"/>
          <w:w w:val="80"/>
          <w:kern w:val="48"/>
        </w:rPr>
        <w:t>,</w:t>
      </w:r>
      <w:r w:rsidR="00747688" w:rsidRPr="00A36633">
        <w:rPr>
          <w:spacing w:val="-14"/>
          <w:w w:val="80"/>
          <w:kern w:val="48"/>
        </w:rPr>
        <w:t xml:space="preserve"> τη διπλή αναβάθμιση από τον οίκο </w:t>
      </w:r>
      <w:proofErr w:type="spellStart"/>
      <w:r w:rsidR="00747688" w:rsidRPr="00A36633">
        <w:rPr>
          <w:spacing w:val="-14"/>
          <w:w w:val="80"/>
          <w:kern w:val="48"/>
        </w:rPr>
        <w:t>Moody’s</w:t>
      </w:r>
      <w:proofErr w:type="spellEnd"/>
      <w:r w:rsidR="00747688" w:rsidRPr="00A36633">
        <w:rPr>
          <w:spacing w:val="-14"/>
          <w:w w:val="80"/>
          <w:kern w:val="48"/>
        </w:rPr>
        <w:t xml:space="preserve">, ο οποίος </w:t>
      </w:r>
      <w:r w:rsidR="00294F1B">
        <w:rPr>
          <w:spacing w:val="-14"/>
          <w:w w:val="80"/>
          <w:kern w:val="48"/>
        </w:rPr>
        <w:t xml:space="preserve"> ανέβασε</w:t>
      </w:r>
      <w:r w:rsidR="00747688" w:rsidRPr="00A36633">
        <w:rPr>
          <w:spacing w:val="-14"/>
          <w:w w:val="80"/>
          <w:kern w:val="48"/>
        </w:rPr>
        <w:t xml:space="preserve"> το κυπριακό αξιόχρεο στην επενδυτική βαθμίδα</w:t>
      </w:r>
      <w:r w:rsidR="00294F1B">
        <w:rPr>
          <w:spacing w:val="-14"/>
          <w:w w:val="80"/>
          <w:kern w:val="48"/>
        </w:rPr>
        <w:t>,</w:t>
      </w:r>
      <w:r w:rsidR="00747688" w:rsidRPr="00A36633">
        <w:rPr>
          <w:spacing w:val="-14"/>
          <w:w w:val="80"/>
          <w:kern w:val="48"/>
        </w:rPr>
        <w:t xml:space="preserve"> έπειτα από </w:t>
      </w:r>
      <w:r w:rsidR="00294F1B">
        <w:rPr>
          <w:spacing w:val="-14"/>
          <w:w w:val="80"/>
          <w:kern w:val="48"/>
        </w:rPr>
        <w:t>12 χρόνια. Σε αναβάθμιση της κ/</w:t>
      </w:r>
      <w:r w:rsidR="00747688" w:rsidRPr="00A36633">
        <w:rPr>
          <w:spacing w:val="-14"/>
          <w:w w:val="80"/>
          <w:kern w:val="48"/>
        </w:rPr>
        <w:t>οικονομίας προέβη</w:t>
      </w:r>
      <w:r w:rsidR="00294F1B">
        <w:rPr>
          <w:spacing w:val="-14"/>
          <w:w w:val="80"/>
          <w:kern w:val="48"/>
        </w:rPr>
        <w:t>,</w:t>
      </w:r>
      <w:r w:rsidR="00747688" w:rsidRPr="00A36633">
        <w:rPr>
          <w:spacing w:val="-14"/>
          <w:w w:val="80"/>
          <w:kern w:val="48"/>
        </w:rPr>
        <w:t xml:space="preserve"> τον Μάρτιο του 2023</w:t>
      </w:r>
      <w:r w:rsidR="00294F1B">
        <w:rPr>
          <w:spacing w:val="-14"/>
          <w:w w:val="80"/>
          <w:kern w:val="48"/>
        </w:rPr>
        <w:t>,</w:t>
      </w:r>
      <w:r w:rsidR="00747688" w:rsidRPr="00A36633">
        <w:rPr>
          <w:spacing w:val="-14"/>
          <w:w w:val="80"/>
          <w:kern w:val="48"/>
        </w:rPr>
        <w:t xml:space="preserve"> </w:t>
      </w:r>
      <w:r w:rsidR="00B102C9">
        <w:rPr>
          <w:spacing w:val="-14"/>
          <w:w w:val="80"/>
          <w:kern w:val="48"/>
        </w:rPr>
        <w:t xml:space="preserve">ο οίκος </w:t>
      </w:r>
      <w:proofErr w:type="spellStart"/>
      <w:r w:rsidR="00B102C9">
        <w:rPr>
          <w:spacing w:val="-14"/>
          <w:w w:val="80"/>
          <w:kern w:val="48"/>
        </w:rPr>
        <w:t>Fitch</w:t>
      </w:r>
      <w:proofErr w:type="spellEnd"/>
      <w:r w:rsidR="00B102C9">
        <w:rPr>
          <w:spacing w:val="-14"/>
          <w:w w:val="80"/>
          <w:kern w:val="48"/>
        </w:rPr>
        <w:t xml:space="preserve"> (βαθμίδα ΒΒΒ)</w:t>
      </w:r>
      <w:r w:rsidR="00294F1B">
        <w:rPr>
          <w:spacing w:val="-14"/>
          <w:w w:val="80"/>
          <w:kern w:val="48"/>
        </w:rPr>
        <w:t>,</w:t>
      </w:r>
      <w:r w:rsidR="00747688" w:rsidRPr="00A36633">
        <w:rPr>
          <w:spacing w:val="-14"/>
          <w:w w:val="80"/>
          <w:kern w:val="48"/>
        </w:rPr>
        <w:t xml:space="preserve"> τον Σεπτέμβριο του 2023</w:t>
      </w:r>
      <w:r w:rsidR="00294F1B">
        <w:rPr>
          <w:spacing w:val="-14"/>
          <w:w w:val="80"/>
          <w:kern w:val="48"/>
        </w:rPr>
        <w:t>,</w:t>
      </w:r>
      <w:r w:rsidR="00747688" w:rsidRPr="00A36633">
        <w:rPr>
          <w:spacing w:val="-14"/>
          <w:w w:val="80"/>
          <w:kern w:val="48"/>
        </w:rPr>
        <w:t xml:space="preserve"> ο οίκος </w:t>
      </w:r>
      <w:proofErr w:type="spellStart"/>
      <w:r w:rsidR="00747688" w:rsidRPr="00A36633">
        <w:rPr>
          <w:spacing w:val="-14"/>
          <w:w w:val="80"/>
          <w:kern w:val="48"/>
        </w:rPr>
        <w:t>Moody’s</w:t>
      </w:r>
      <w:proofErr w:type="spellEnd"/>
      <w:r w:rsidR="00747688" w:rsidRPr="00A36633">
        <w:rPr>
          <w:spacing w:val="-14"/>
          <w:w w:val="80"/>
          <w:kern w:val="48"/>
        </w:rPr>
        <w:t xml:space="preserve"> αναβάθμισε το κυπριακό αξιόχρεο</w:t>
      </w:r>
      <w:r w:rsidR="00294F1B">
        <w:rPr>
          <w:spacing w:val="-14"/>
          <w:w w:val="80"/>
          <w:kern w:val="48"/>
        </w:rPr>
        <w:t>,</w:t>
      </w:r>
      <w:r w:rsidR="00747688" w:rsidRPr="00A36633">
        <w:rPr>
          <w:spacing w:val="-14"/>
          <w:w w:val="80"/>
          <w:kern w:val="48"/>
        </w:rPr>
        <w:t xml:space="preserve"> κατά 2 βαθμίδες</w:t>
      </w:r>
      <w:r w:rsidR="00294F1B">
        <w:rPr>
          <w:spacing w:val="-14"/>
          <w:w w:val="80"/>
          <w:kern w:val="48"/>
        </w:rPr>
        <w:t>,</w:t>
      </w:r>
      <w:r w:rsidR="00B102C9">
        <w:rPr>
          <w:spacing w:val="-14"/>
          <w:w w:val="80"/>
          <w:kern w:val="48"/>
        </w:rPr>
        <w:t xml:space="preserve"> στο Baa2 ενώ</w:t>
      </w:r>
      <w:r w:rsidR="00747688" w:rsidRPr="00A36633">
        <w:rPr>
          <w:spacing w:val="-14"/>
          <w:w w:val="80"/>
          <w:kern w:val="48"/>
        </w:rPr>
        <w:t xml:space="preserve"> ο καναδικός οίκος</w:t>
      </w:r>
      <w:r w:rsidR="00294F1B">
        <w:rPr>
          <w:spacing w:val="-14"/>
          <w:w w:val="80"/>
          <w:kern w:val="48"/>
        </w:rPr>
        <w:t>,</w:t>
      </w:r>
      <w:r w:rsidR="00747688" w:rsidRPr="00A36633">
        <w:rPr>
          <w:spacing w:val="-14"/>
          <w:w w:val="80"/>
          <w:kern w:val="48"/>
        </w:rPr>
        <w:t xml:space="preserve"> DBRS </w:t>
      </w:r>
      <w:proofErr w:type="spellStart"/>
      <w:r w:rsidR="00747688" w:rsidRPr="00A36633">
        <w:rPr>
          <w:spacing w:val="-14"/>
          <w:w w:val="80"/>
          <w:kern w:val="48"/>
        </w:rPr>
        <w:t>Morningstar</w:t>
      </w:r>
      <w:proofErr w:type="spellEnd"/>
      <w:r w:rsidR="00294F1B">
        <w:rPr>
          <w:spacing w:val="-14"/>
          <w:w w:val="80"/>
          <w:kern w:val="48"/>
        </w:rPr>
        <w:t>,</w:t>
      </w:r>
      <w:r w:rsidR="00747688" w:rsidRPr="00A36633">
        <w:rPr>
          <w:spacing w:val="-14"/>
          <w:w w:val="80"/>
          <w:kern w:val="48"/>
        </w:rPr>
        <w:t xml:space="preserve"> αναβάθμισε τη μακροχρόνια αξιολόγηση της Κύπρου</w:t>
      </w:r>
      <w:r w:rsidR="00294F1B">
        <w:rPr>
          <w:spacing w:val="-14"/>
          <w:w w:val="80"/>
          <w:kern w:val="48"/>
        </w:rPr>
        <w:t>,</w:t>
      </w:r>
      <w:r w:rsidR="00747688" w:rsidRPr="00A36633">
        <w:rPr>
          <w:spacing w:val="-14"/>
          <w:w w:val="80"/>
          <w:kern w:val="48"/>
        </w:rPr>
        <w:t xml:space="preserve"> κατά μία βαθμίδα στο ΒΒΒ (υψηλό). Η κυπριακή οικονομία εισέρχεται</w:t>
      </w:r>
      <w:r w:rsidR="00294F1B">
        <w:rPr>
          <w:spacing w:val="-14"/>
          <w:w w:val="80"/>
          <w:kern w:val="48"/>
        </w:rPr>
        <w:t>,</w:t>
      </w:r>
      <w:r w:rsidR="00747688" w:rsidRPr="00A36633">
        <w:rPr>
          <w:spacing w:val="-14"/>
          <w:w w:val="80"/>
          <w:kern w:val="48"/>
        </w:rPr>
        <w:t xml:space="preserve"> στο 2024</w:t>
      </w:r>
      <w:r w:rsidR="00294F1B">
        <w:rPr>
          <w:spacing w:val="-14"/>
          <w:w w:val="80"/>
          <w:kern w:val="48"/>
        </w:rPr>
        <w:t>,</w:t>
      </w:r>
      <w:r w:rsidR="00747688" w:rsidRPr="00A36633">
        <w:rPr>
          <w:spacing w:val="-14"/>
          <w:w w:val="80"/>
          <w:kern w:val="48"/>
        </w:rPr>
        <w:t xml:space="preserve"> με δύο οίκους να διατηρούν το κυπριακό αξιόχρεο σε τροχιά αναβάθμισης, αφού </w:t>
      </w:r>
      <w:r w:rsidR="0040536D" w:rsidRPr="00A36633">
        <w:rPr>
          <w:spacing w:val="-14"/>
          <w:w w:val="80"/>
          <w:kern w:val="48"/>
        </w:rPr>
        <w:t xml:space="preserve"> </w:t>
      </w:r>
      <w:r w:rsidR="00747688" w:rsidRPr="00A36633">
        <w:rPr>
          <w:spacing w:val="-14"/>
          <w:w w:val="80"/>
          <w:kern w:val="48"/>
        </w:rPr>
        <w:t xml:space="preserve">ο </w:t>
      </w:r>
      <w:r w:rsidR="0040536D" w:rsidRPr="00A36633">
        <w:rPr>
          <w:spacing w:val="-14"/>
          <w:w w:val="80"/>
          <w:kern w:val="48"/>
        </w:rPr>
        <w:t xml:space="preserve"> </w:t>
      </w:r>
      <w:r w:rsidR="00747688" w:rsidRPr="00A36633">
        <w:rPr>
          <w:spacing w:val="-14"/>
          <w:w w:val="80"/>
          <w:kern w:val="48"/>
        </w:rPr>
        <w:t xml:space="preserve">οίκος </w:t>
      </w:r>
      <w:proofErr w:type="spellStart"/>
      <w:r w:rsidR="00747688" w:rsidRPr="00A36633">
        <w:rPr>
          <w:spacing w:val="-14"/>
          <w:w w:val="80"/>
          <w:kern w:val="48"/>
        </w:rPr>
        <w:t>S&amp;P’s</w:t>
      </w:r>
      <w:proofErr w:type="spellEnd"/>
      <w:r w:rsidR="00747688" w:rsidRPr="00A36633">
        <w:rPr>
          <w:spacing w:val="-14"/>
          <w:w w:val="80"/>
          <w:kern w:val="48"/>
        </w:rPr>
        <w:t xml:space="preserve"> έθεσε την αξιολόγηση σε θετική προοπτική (2.9.23), ενώ και ο οίκος </w:t>
      </w:r>
      <w:proofErr w:type="spellStart"/>
      <w:r w:rsidR="00747688" w:rsidRPr="00A36633">
        <w:rPr>
          <w:spacing w:val="-14"/>
          <w:w w:val="80"/>
          <w:kern w:val="48"/>
        </w:rPr>
        <w:t>Fitch</w:t>
      </w:r>
      <w:proofErr w:type="spellEnd"/>
      <w:r w:rsidR="00747688" w:rsidRPr="00A36633">
        <w:rPr>
          <w:spacing w:val="-14"/>
          <w:w w:val="80"/>
          <w:kern w:val="48"/>
        </w:rPr>
        <w:t xml:space="preserve"> αναβάθμισε την προοπτική του κυπριακού αξιόχρεου σε θετική (8.12.23)</w:t>
      </w:r>
      <w:r>
        <w:rPr>
          <w:spacing w:val="-14"/>
          <w:w w:val="80"/>
          <w:kern w:val="48"/>
        </w:rPr>
        <w:t>.</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spacing w:val="-14"/>
          <w:w w:val="80"/>
          <w:kern w:val="48"/>
        </w:rPr>
      </w:pPr>
    </w:p>
    <w:p w:rsidR="0021642C" w:rsidRDefault="004E0A6E"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A211C3">
        <w:rPr>
          <w:b/>
          <w:color w:val="0070C0"/>
          <w:spacing w:val="-14"/>
          <w:w w:val="80"/>
          <w:kern w:val="48"/>
        </w:rPr>
        <w:t>1.4</w:t>
      </w:r>
      <w:r w:rsidR="007B3D1D" w:rsidRPr="00A211C3">
        <w:rPr>
          <w:b/>
          <w:color w:val="0070C0"/>
          <w:spacing w:val="-14"/>
          <w:w w:val="80"/>
          <w:kern w:val="48"/>
        </w:rPr>
        <w:t xml:space="preserve">  </w:t>
      </w:r>
      <w:r w:rsidR="0096184B" w:rsidRPr="00A211C3">
        <w:rPr>
          <w:b/>
          <w:bCs/>
          <w:color w:val="31849B"/>
          <w:spacing w:val="-14"/>
          <w:w w:val="80"/>
          <w:kern w:val="48"/>
        </w:rPr>
        <w:t xml:space="preserve">Συζήτηση στην κ/ Βουλή του Προϋπολογισμού της </w:t>
      </w:r>
      <w:hyperlink r:id="rId9" w:tgtFrame="_blank" w:history="1">
        <w:r w:rsidR="0096184B" w:rsidRPr="00A211C3">
          <w:rPr>
            <w:rStyle w:val="Hyperlink"/>
            <w:b/>
            <w:bCs/>
            <w:color w:val="31849B"/>
            <w:spacing w:val="-14"/>
            <w:w w:val="80"/>
            <w:kern w:val="48"/>
            <w:u w:val="none"/>
          </w:rPr>
          <w:t>Δημόσιας Εταιρείας Φυσικού Αερίου</w:t>
        </w:r>
      </w:hyperlink>
      <w:r w:rsidR="0096184B" w:rsidRPr="00A211C3">
        <w:rPr>
          <w:b/>
          <w:bCs/>
          <w:color w:val="31849B"/>
          <w:spacing w:val="-14"/>
          <w:w w:val="80"/>
          <w:kern w:val="48"/>
        </w:rPr>
        <w:t> (ΔΕΦΑ)</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Cs/>
          <w:spacing w:val="-14"/>
          <w:w w:val="80"/>
          <w:kern w:val="48"/>
        </w:rPr>
      </w:pPr>
      <w:r>
        <w:rPr>
          <w:b/>
          <w:color w:val="0070C0"/>
          <w:spacing w:val="-14"/>
          <w:w w:val="80"/>
          <w:kern w:val="48"/>
        </w:rPr>
        <w:t xml:space="preserve">      </w:t>
      </w:r>
      <w:r w:rsidR="00463EB3" w:rsidRPr="00463EB3">
        <w:rPr>
          <w:bCs/>
          <w:spacing w:val="-14"/>
          <w:w w:val="80"/>
          <w:kern w:val="48"/>
        </w:rPr>
        <w:t xml:space="preserve">Ξεκίνησε στην Κοινοβουλευτική Επιτροπή Ενέργειας, Εμπορίου, Βιομηχανίας και Τουρισμού </w:t>
      </w:r>
      <w:hyperlink r:id="rId10" w:tgtFrame="_blank" w:history="1">
        <w:r w:rsidR="00463EB3" w:rsidRPr="00463EB3">
          <w:rPr>
            <w:rStyle w:val="Hyperlink"/>
            <w:bCs/>
            <w:spacing w:val="-14"/>
            <w:w w:val="80"/>
            <w:kern w:val="48"/>
          </w:rPr>
          <w:t> </w:t>
        </w:r>
      </w:hyperlink>
      <w:r w:rsidR="00463EB3" w:rsidRPr="00463EB3">
        <w:rPr>
          <w:bCs/>
          <w:spacing w:val="-14"/>
          <w:w w:val="80"/>
          <w:kern w:val="48"/>
        </w:rPr>
        <w:t xml:space="preserve">(12.3.24) η συζήτηση του προϋπολογισμού της  </w:t>
      </w:r>
      <w:hyperlink r:id="rId11" w:tgtFrame="_blank" w:history="1">
        <w:r w:rsidR="00463EB3" w:rsidRPr="00463EB3">
          <w:rPr>
            <w:rStyle w:val="Hyperlink"/>
            <w:bCs/>
            <w:color w:val="auto"/>
            <w:spacing w:val="-14"/>
            <w:w w:val="80"/>
            <w:kern w:val="48"/>
            <w:u w:val="none"/>
          </w:rPr>
          <w:t>Δημόσιας Εταιρείας Φυσικού Αερίου</w:t>
        </w:r>
      </w:hyperlink>
      <w:r w:rsidR="00463EB3" w:rsidRPr="00463EB3">
        <w:rPr>
          <w:bCs/>
          <w:spacing w:val="-14"/>
          <w:w w:val="80"/>
          <w:kern w:val="48"/>
        </w:rPr>
        <w:t> </w:t>
      </w:r>
      <w:r w:rsidR="00463EB3">
        <w:rPr>
          <w:bCs/>
          <w:spacing w:val="-14"/>
          <w:w w:val="80"/>
          <w:kern w:val="48"/>
        </w:rPr>
        <w:t xml:space="preserve"> </w:t>
      </w:r>
      <w:r w:rsidR="00463EB3" w:rsidRPr="00463EB3">
        <w:rPr>
          <w:bCs/>
          <w:spacing w:val="-14"/>
          <w:w w:val="80"/>
          <w:kern w:val="48"/>
        </w:rPr>
        <w:t>(ΔΕΦΑ), ο πρώτος</w:t>
      </w:r>
      <w:r w:rsidR="00294F1B">
        <w:rPr>
          <w:bCs/>
          <w:spacing w:val="-14"/>
          <w:w w:val="80"/>
          <w:kern w:val="48"/>
        </w:rPr>
        <w:t>,</w:t>
      </w:r>
      <w:r w:rsidR="00463EB3" w:rsidRPr="00463EB3">
        <w:rPr>
          <w:bCs/>
          <w:spacing w:val="-14"/>
          <w:w w:val="80"/>
          <w:kern w:val="48"/>
        </w:rPr>
        <w:t xml:space="preserve"> μετά την αλλαγή του νομικού καθεστώτος του οργανισμού από ΝΠΙΔ (νομικό πρόσωπο ιδιωτικού δικαίου) σε ΝΠΙΔ (νομικό πρόσωπο δημοσίου δικαίου) και ο πρώτος, που οδηγείται στη Βουλή, με τον Πρόεδρο της Επιτροπής κ. Κ. Χατζηγιάννη να κάνει λόγο για «προβληματικό οργανισμό» </w:t>
      </w:r>
      <w:r w:rsidR="00294F1B">
        <w:rPr>
          <w:bCs/>
          <w:spacing w:val="-14"/>
          <w:w w:val="80"/>
          <w:kern w:val="48"/>
        </w:rPr>
        <w:t>αναφέροντας</w:t>
      </w:r>
      <w:r w:rsidR="00463EB3" w:rsidRPr="00463EB3">
        <w:rPr>
          <w:bCs/>
          <w:spacing w:val="-14"/>
          <w:w w:val="80"/>
          <w:kern w:val="48"/>
        </w:rPr>
        <w:t xml:space="preserve"> ότι κλήθηκαν οι αρμόδιοι να επανέλθουν την ερχό</w:t>
      </w:r>
      <w:r w:rsidR="00294F1B">
        <w:rPr>
          <w:bCs/>
          <w:spacing w:val="-14"/>
          <w:w w:val="80"/>
          <w:kern w:val="48"/>
        </w:rPr>
        <w:t>μενη εβδομάδα ενώπιο</w:t>
      </w:r>
      <w:r w:rsidR="00463EB3" w:rsidRPr="00463EB3">
        <w:rPr>
          <w:bCs/>
          <w:spacing w:val="-14"/>
          <w:w w:val="80"/>
          <w:kern w:val="48"/>
        </w:rPr>
        <w:t>ν της Επιτροπής με απαντήσεις για ερωτήματα σε σχέση με τη χρηματοδότη</w:t>
      </w:r>
      <w:r w:rsidR="00294F1B">
        <w:rPr>
          <w:bCs/>
          <w:spacing w:val="-14"/>
          <w:w w:val="80"/>
          <w:kern w:val="48"/>
        </w:rPr>
        <w:t>σή της ΔΕΦΑ από την ΕΕ καθώς και το τί</w:t>
      </w:r>
      <w:r w:rsidR="00463EB3" w:rsidRPr="00463EB3">
        <w:rPr>
          <w:bCs/>
          <w:spacing w:val="-14"/>
          <w:w w:val="80"/>
          <w:kern w:val="48"/>
        </w:rPr>
        <w:t xml:space="preserve"> μέλει γενέσθαι με το προσ</w:t>
      </w:r>
      <w:r>
        <w:rPr>
          <w:bCs/>
          <w:spacing w:val="-14"/>
          <w:w w:val="80"/>
          <w:kern w:val="48"/>
        </w:rPr>
        <w:t>ωπικό, που απασχολεί η εταιρεία.</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Cs/>
          <w:spacing w:val="-14"/>
          <w:w w:val="80"/>
          <w:kern w:val="48"/>
        </w:rPr>
        <w:t xml:space="preserve">      </w:t>
      </w:r>
      <w:r w:rsidR="00463EB3">
        <w:rPr>
          <w:bCs/>
          <w:spacing w:val="-14"/>
          <w:w w:val="80"/>
          <w:kern w:val="48"/>
        </w:rPr>
        <w:t xml:space="preserve"> </w:t>
      </w:r>
      <w:r w:rsidR="00463EB3" w:rsidRPr="00463EB3">
        <w:rPr>
          <w:bCs/>
          <w:spacing w:val="-14"/>
          <w:w w:val="80"/>
          <w:kern w:val="48"/>
        </w:rPr>
        <w:t>Σύμφωνα με τα στοιχεία, που κατατέθηκαν στη Βουλή, ο προϋπολογισμός προβλέπει καθαρά συνολικά κεφαλαιουχικά και λειτουργικά έξοδα</w:t>
      </w:r>
      <w:r w:rsidR="00294F1B">
        <w:rPr>
          <w:bCs/>
          <w:spacing w:val="-14"/>
          <w:w w:val="80"/>
          <w:kern w:val="48"/>
        </w:rPr>
        <w:t>, ύψους 38,6 εκ</w:t>
      </w:r>
      <w:r w:rsidR="00463EB3" w:rsidRPr="00463EB3">
        <w:rPr>
          <w:bCs/>
          <w:spacing w:val="-14"/>
          <w:w w:val="80"/>
          <w:kern w:val="48"/>
        </w:rPr>
        <w:t>. Ευρώ. Στον αυξημένο σε σχέση με τα προηγούμενα χρόνια προϋπολογισμό του 2024 περιλαμβάνονται συνολικά κεφαλαιουχικές δαπάνες</w:t>
      </w:r>
      <w:r w:rsidR="00294F1B">
        <w:rPr>
          <w:bCs/>
          <w:spacing w:val="-14"/>
          <w:w w:val="80"/>
          <w:kern w:val="48"/>
        </w:rPr>
        <w:t>, ύψους 31,3 εκ</w:t>
      </w:r>
      <w:r w:rsidR="00463EB3" w:rsidRPr="00463EB3">
        <w:rPr>
          <w:bCs/>
          <w:spacing w:val="-14"/>
          <w:w w:val="80"/>
          <w:kern w:val="48"/>
        </w:rPr>
        <w:t>. Ευρώ. Η εκτίμηση των καθαρών λειτουργικών εξόδων</w:t>
      </w:r>
      <w:r w:rsidR="00294F1B">
        <w:rPr>
          <w:bCs/>
          <w:spacing w:val="-14"/>
          <w:w w:val="80"/>
          <w:kern w:val="48"/>
        </w:rPr>
        <w:t>,</w:t>
      </w:r>
      <w:r w:rsidR="00463EB3" w:rsidRPr="00463EB3">
        <w:rPr>
          <w:bCs/>
          <w:spacing w:val="-14"/>
          <w:w w:val="80"/>
          <w:kern w:val="48"/>
        </w:rPr>
        <w:t xml:space="preserve"> για το 2025 και το 2026</w:t>
      </w:r>
      <w:r w:rsidR="00294F1B">
        <w:rPr>
          <w:bCs/>
          <w:spacing w:val="-14"/>
          <w:w w:val="80"/>
          <w:kern w:val="48"/>
        </w:rPr>
        <w:t>, ανέρχεται σε 8,5 εκ. Ευρώ και 8,7 εκ</w:t>
      </w:r>
      <w:r w:rsidR="00463EB3" w:rsidRPr="00463EB3">
        <w:rPr>
          <w:bCs/>
          <w:spacing w:val="-14"/>
          <w:w w:val="80"/>
          <w:kern w:val="48"/>
        </w:rPr>
        <w:t>. Ευρώ</w:t>
      </w:r>
      <w:r w:rsidR="00B102C9">
        <w:rPr>
          <w:bCs/>
          <w:spacing w:val="-14"/>
          <w:w w:val="80"/>
          <w:kern w:val="48"/>
        </w:rPr>
        <w:t>,</w:t>
      </w:r>
      <w:r w:rsidR="00463EB3" w:rsidRPr="00463EB3">
        <w:rPr>
          <w:bCs/>
          <w:spacing w:val="-14"/>
          <w:w w:val="80"/>
          <w:kern w:val="48"/>
        </w:rPr>
        <w:t xml:space="preserve"> αντίστοιχα. </w:t>
      </w:r>
      <w:r w:rsidR="00294F1B">
        <w:rPr>
          <w:bCs/>
          <w:spacing w:val="-14"/>
          <w:w w:val="80"/>
          <w:kern w:val="48"/>
        </w:rPr>
        <w:t>Επίσης,</w:t>
      </w:r>
      <w:r w:rsidR="00463EB3" w:rsidRPr="00463EB3">
        <w:rPr>
          <w:bCs/>
          <w:spacing w:val="-14"/>
          <w:w w:val="80"/>
          <w:kern w:val="48"/>
        </w:rPr>
        <w:t xml:space="preserve"> στον προϋπολογισμό του 2024 ζητούνται 36 νέες θέσεις εργασίας</w:t>
      </w:r>
      <w:r w:rsidR="00294F1B">
        <w:rPr>
          <w:bCs/>
          <w:spacing w:val="-14"/>
          <w:w w:val="80"/>
          <w:kern w:val="48"/>
        </w:rPr>
        <w:t>,</w:t>
      </w:r>
      <w:r w:rsidR="00463EB3" w:rsidRPr="00463EB3">
        <w:rPr>
          <w:bCs/>
          <w:spacing w:val="-14"/>
          <w:w w:val="80"/>
          <w:kern w:val="48"/>
        </w:rPr>
        <w:t> πέραν των θέσεων, που μεταφέρθηκαν από υπαλλήλους που υπηρετούσαν στη ΔΕΦΑ ΛΤΔ. Σημειώνεται</w:t>
      </w:r>
      <w:r w:rsidR="00294F1B">
        <w:rPr>
          <w:bCs/>
          <w:spacing w:val="-14"/>
          <w:w w:val="80"/>
          <w:kern w:val="48"/>
        </w:rPr>
        <w:t>,</w:t>
      </w:r>
      <w:r w:rsidR="00463EB3" w:rsidRPr="00463EB3">
        <w:rPr>
          <w:bCs/>
          <w:spacing w:val="-14"/>
          <w:w w:val="80"/>
          <w:kern w:val="48"/>
        </w:rPr>
        <w:t xml:space="preserve"> ότι λαμβάνεται </w:t>
      </w:r>
      <w:proofErr w:type="spellStart"/>
      <w:r w:rsidR="00463EB3" w:rsidRPr="00463EB3">
        <w:rPr>
          <w:bCs/>
          <w:spacing w:val="-14"/>
          <w:w w:val="80"/>
          <w:kern w:val="48"/>
        </w:rPr>
        <w:t>υπόψιν</w:t>
      </w:r>
      <w:proofErr w:type="spellEnd"/>
      <w:r w:rsidR="00463EB3" w:rsidRPr="00463EB3">
        <w:rPr>
          <w:bCs/>
          <w:spacing w:val="-14"/>
          <w:w w:val="80"/>
          <w:kern w:val="48"/>
        </w:rPr>
        <w:t xml:space="preserve"> η οδηγία, που αφορά στη μείωση των κλιμάκων εισδοχής</w:t>
      </w:r>
      <w:r w:rsidR="00294F1B">
        <w:rPr>
          <w:bCs/>
          <w:spacing w:val="-14"/>
          <w:w w:val="80"/>
          <w:kern w:val="48"/>
        </w:rPr>
        <w:t>,</w:t>
      </w:r>
      <w:r w:rsidR="00463EB3" w:rsidRPr="00463EB3">
        <w:rPr>
          <w:bCs/>
          <w:spacing w:val="-14"/>
          <w:w w:val="80"/>
          <w:kern w:val="48"/>
        </w:rPr>
        <w:t xml:space="preserve"> κατά 10%, καθώς ακολουθείται </w:t>
      </w:r>
      <w:proofErr w:type="spellStart"/>
      <w:r w:rsidR="00463EB3" w:rsidRPr="00463EB3">
        <w:rPr>
          <w:bCs/>
          <w:spacing w:val="-14"/>
          <w:w w:val="80"/>
          <w:kern w:val="48"/>
        </w:rPr>
        <w:t>ό</w:t>
      </w:r>
      <w:r w:rsidR="00294F1B">
        <w:rPr>
          <w:bCs/>
          <w:spacing w:val="-14"/>
          <w:w w:val="80"/>
          <w:kern w:val="48"/>
        </w:rPr>
        <w:t>,</w:t>
      </w:r>
      <w:r w:rsidR="00463EB3" w:rsidRPr="00463EB3">
        <w:rPr>
          <w:bCs/>
          <w:spacing w:val="-14"/>
          <w:w w:val="80"/>
          <w:kern w:val="48"/>
        </w:rPr>
        <w:t>τι</w:t>
      </w:r>
      <w:proofErr w:type="spellEnd"/>
      <w:r w:rsidR="00463EB3" w:rsidRPr="00463EB3">
        <w:rPr>
          <w:bCs/>
          <w:spacing w:val="-14"/>
          <w:w w:val="80"/>
          <w:kern w:val="48"/>
        </w:rPr>
        <w:t xml:space="preserve"> ισχύει στον δημόσιο και τον ευρύτερο δημόσιο τομέα. Η κρατική επιχορήγηση στη ΔΕΦΑ</w:t>
      </w:r>
      <w:r w:rsidR="00294F1B">
        <w:rPr>
          <w:bCs/>
          <w:spacing w:val="-14"/>
          <w:w w:val="80"/>
          <w:kern w:val="48"/>
        </w:rPr>
        <w:t>,</w:t>
      </w:r>
      <w:r w:rsidR="00463EB3" w:rsidRPr="00463EB3">
        <w:rPr>
          <w:bCs/>
          <w:spacing w:val="-14"/>
          <w:w w:val="80"/>
          <w:kern w:val="48"/>
        </w:rPr>
        <w:t xml:space="preserve"> για το 2024</w:t>
      </w:r>
      <w:r w:rsidR="00294F1B">
        <w:rPr>
          <w:bCs/>
          <w:spacing w:val="-14"/>
          <w:w w:val="80"/>
          <w:kern w:val="48"/>
        </w:rPr>
        <w:t>, θα μειωθεί από 18 εκ</w:t>
      </w:r>
      <w:r w:rsidR="000D601D">
        <w:rPr>
          <w:bCs/>
          <w:spacing w:val="-14"/>
          <w:w w:val="80"/>
          <w:kern w:val="48"/>
        </w:rPr>
        <w:t>. Ευρώ σε 12 εκ</w:t>
      </w:r>
      <w:r w:rsidR="00463EB3" w:rsidRPr="00463EB3">
        <w:rPr>
          <w:bCs/>
          <w:spacing w:val="-14"/>
          <w:w w:val="80"/>
          <w:kern w:val="48"/>
        </w:rPr>
        <w:t>. Ευρώ, ενώ</w:t>
      </w:r>
      <w:r w:rsidR="00B102C9">
        <w:rPr>
          <w:bCs/>
          <w:spacing w:val="-14"/>
          <w:w w:val="80"/>
          <w:kern w:val="48"/>
        </w:rPr>
        <w:t>,</w:t>
      </w:r>
      <w:r w:rsidR="00463EB3" w:rsidRPr="00463EB3">
        <w:rPr>
          <w:bCs/>
          <w:spacing w:val="-14"/>
          <w:w w:val="80"/>
          <w:kern w:val="48"/>
        </w:rPr>
        <w:t xml:space="preserve"> γ</w:t>
      </w:r>
      <w:r w:rsidR="000D601D">
        <w:rPr>
          <w:bCs/>
          <w:spacing w:val="-14"/>
          <w:w w:val="80"/>
          <w:kern w:val="48"/>
        </w:rPr>
        <w:t>ια τα έτη 2025 - 2026 θα μειωθεί σε 2 εκ</w:t>
      </w:r>
      <w:r w:rsidR="00463EB3" w:rsidRPr="00463EB3">
        <w:rPr>
          <w:bCs/>
          <w:spacing w:val="-14"/>
          <w:w w:val="80"/>
          <w:kern w:val="48"/>
        </w:rPr>
        <w:t>. Ευρώ.</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63EB3" w:rsidRPr="00463EB3">
        <w:rPr>
          <w:bCs/>
          <w:spacing w:val="-14"/>
          <w:w w:val="80"/>
          <w:kern w:val="48"/>
        </w:rPr>
        <w:t>Αναλυτικά, ο προϋπολογισμός της ΔΕΦΑ</w:t>
      </w:r>
      <w:r w:rsidR="00B102C9">
        <w:rPr>
          <w:bCs/>
          <w:spacing w:val="-14"/>
          <w:w w:val="80"/>
          <w:kern w:val="48"/>
        </w:rPr>
        <w:t>,</w:t>
      </w:r>
      <w:r w:rsidR="00463EB3" w:rsidRPr="00463EB3">
        <w:rPr>
          <w:bCs/>
          <w:spacing w:val="-14"/>
          <w:w w:val="80"/>
          <w:kern w:val="48"/>
        </w:rPr>
        <w:t xml:space="preserve"> για το έτος 2024</w:t>
      </w:r>
      <w:r w:rsidR="00B102C9">
        <w:rPr>
          <w:bCs/>
          <w:spacing w:val="-14"/>
          <w:w w:val="80"/>
          <w:kern w:val="48"/>
        </w:rPr>
        <w:t>,</w:t>
      </w:r>
      <w:r w:rsidR="00463EB3" w:rsidRPr="00463EB3">
        <w:rPr>
          <w:bCs/>
          <w:spacing w:val="-14"/>
          <w:w w:val="80"/>
          <w:kern w:val="48"/>
        </w:rPr>
        <w:t xml:space="preserve"> μεταξύ άλλων</w:t>
      </w:r>
      <w:r w:rsidR="000D601D">
        <w:rPr>
          <w:bCs/>
          <w:spacing w:val="-14"/>
          <w:w w:val="80"/>
          <w:kern w:val="48"/>
        </w:rPr>
        <w:t>. περιλαμβάνει 20,5 εκ</w:t>
      </w:r>
      <w:r w:rsidR="00463EB3" w:rsidRPr="00463EB3">
        <w:rPr>
          <w:bCs/>
          <w:spacing w:val="-14"/>
          <w:w w:val="80"/>
          <w:kern w:val="48"/>
        </w:rPr>
        <w:t>. Ευρώ για «επενδύσεις σε θυγατρικές», ποσό</w:t>
      </w:r>
      <w:r w:rsidR="00B102C9">
        <w:rPr>
          <w:bCs/>
          <w:spacing w:val="-14"/>
          <w:w w:val="80"/>
          <w:kern w:val="48"/>
        </w:rPr>
        <w:t>,</w:t>
      </w:r>
      <w:r w:rsidR="00463EB3" w:rsidRPr="00463EB3">
        <w:rPr>
          <w:bCs/>
          <w:spacing w:val="-14"/>
          <w:w w:val="80"/>
          <w:kern w:val="48"/>
        </w:rPr>
        <w:t xml:space="preserve"> το οποίο αφορά μεταφορά στο μετοχικό κεφάλαιο της θυγατρικής Εταιρείας Υποδομών Φυσικού Αερίου (ΕΤΥΦΑ) ΛΤΔ, η οποία λειτουργεί ως όχημα ειδικού σκοπού για την προώθηση του ενεργειακού έργου στο Βα</w:t>
      </w:r>
      <w:r w:rsidR="000D601D">
        <w:rPr>
          <w:bCs/>
          <w:spacing w:val="-14"/>
          <w:w w:val="80"/>
          <w:kern w:val="48"/>
        </w:rPr>
        <w:t>σιλικό </w:t>
      </w:r>
      <w:r w:rsidR="00B102C9">
        <w:rPr>
          <w:bCs/>
          <w:spacing w:val="-14"/>
          <w:w w:val="80"/>
          <w:kern w:val="48"/>
        </w:rPr>
        <w:t xml:space="preserve"> </w:t>
      </w:r>
      <w:r w:rsidR="000D601D">
        <w:rPr>
          <w:bCs/>
          <w:spacing w:val="-14"/>
          <w:w w:val="80"/>
          <w:kern w:val="48"/>
        </w:rPr>
        <w:t>και δαπάνες</w:t>
      </w:r>
      <w:r w:rsidR="00B102C9">
        <w:rPr>
          <w:bCs/>
          <w:spacing w:val="-14"/>
          <w:w w:val="80"/>
          <w:kern w:val="48"/>
        </w:rPr>
        <w:t>,</w:t>
      </w:r>
      <w:r w:rsidR="000D601D">
        <w:rPr>
          <w:bCs/>
          <w:spacing w:val="-14"/>
          <w:w w:val="80"/>
          <w:kern w:val="48"/>
        </w:rPr>
        <w:t xml:space="preserve"> ύψους 10 εκ</w:t>
      </w:r>
      <w:r w:rsidR="00463EB3" w:rsidRPr="00463EB3">
        <w:rPr>
          <w:bCs/>
          <w:spacing w:val="-14"/>
          <w:w w:val="80"/>
          <w:kern w:val="48"/>
        </w:rPr>
        <w:t>.</w:t>
      </w:r>
      <w:r w:rsidR="00B102C9">
        <w:rPr>
          <w:bCs/>
          <w:spacing w:val="-14"/>
          <w:w w:val="80"/>
          <w:kern w:val="48"/>
        </w:rPr>
        <w:t>,</w:t>
      </w:r>
      <w:r w:rsidR="00463EB3" w:rsidRPr="00463EB3">
        <w:rPr>
          <w:bCs/>
          <w:spacing w:val="-14"/>
          <w:w w:val="80"/>
          <w:kern w:val="48"/>
        </w:rPr>
        <w:t xml:space="preserve"> γ</w:t>
      </w:r>
      <w:r w:rsidR="000D601D">
        <w:rPr>
          <w:bCs/>
          <w:spacing w:val="-14"/>
          <w:w w:val="80"/>
          <w:kern w:val="48"/>
        </w:rPr>
        <w:t>ια «άλλα κατασκευαστικά έργα» (</w:t>
      </w:r>
      <w:r w:rsidR="00463EB3" w:rsidRPr="00463EB3">
        <w:rPr>
          <w:bCs/>
          <w:spacing w:val="-14"/>
          <w:w w:val="80"/>
          <w:kern w:val="48"/>
        </w:rPr>
        <w:t>συγκεκριμένα  κατασκευαστικές εργασίες για το δίκτυο αγωγών φυσικού αερίου). Εντός του 2024</w:t>
      </w:r>
      <w:r w:rsidR="00B102C9">
        <w:rPr>
          <w:bCs/>
          <w:spacing w:val="-14"/>
          <w:w w:val="80"/>
          <w:kern w:val="48"/>
        </w:rPr>
        <w:t>,</w:t>
      </w:r>
      <w:r w:rsidR="00463EB3" w:rsidRPr="00463EB3">
        <w:rPr>
          <w:bCs/>
          <w:spacing w:val="-14"/>
          <w:w w:val="80"/>
          <w:kern w:val="48"/>
        </w:rPr>
        <w:t xml:space="preserve"> αναμένεται ότι θα έχουν ολοκληρωθεί οι υποδομές εισαγωγής υγροποιημένου φυσικού αερίου της ΕΤΥΦΑ στο Βασιλικό. </w:t>
      </w:r>
      <w:r w:rsidR="000D601D">
        <w:rPr>
          <w:bCs/>
          <w:spacing w:val="-14"/>
          <w:w w:val="80"/>
          <w:kern w:val="48"/>
        </w:rPr>
        <w:t xml:space="preserve"> </w:t>
      </w:r>
      <w:r w:rsidR="00463EB3" w:rsidRPr="00463EB3">
        <w:rPr>
          <w:bCs/>
          <w:spacing w:val="-14"/>
          <w:w w:val="80"/>
          <w:kern w:val="48"/>
        </w:rPr>
        <w:t>Σε αυτό το στάδιο</w:t>
      </w:r>
      <w:r w:rsidR="000D601D">
        <w:rPr>
          <w:bCs/>
          <w:spacing w:val="-14"/>
          <w:w w:val="80"/>
          <w:kern w:val="48"/>
        </w:rPr>
        <w:t>,</w:t>
      </w:r>
      <w:r w:rsidR="00463EB3" w:rsidRPr="00463EB3">
        <w:rPr>
          <w:bCs/>
          <w:spacing w:val="-14"/>
          <w:w w:val="80"/>
          <w:kern w:val="48"/>
        </w:rPr>
        <w:t xml:space="preserve"> η ΔΕΦΑ θα πρέπει να έχει επαρκή στελέχωση</w:t>
      </w:r>
      <w:r w:rsidR="000D601D">
        <w:rPr>
          <w:bCs/>
          <w:spacing w:val="-14"/>
          <w:w w:val="80"/>
          <w:kern w:val="48"/>
        </w:rPr>
        <w:t>,</w:t>
      </w:r>
      <w:r w:rsidR="00463EB3" w:rsidRPr="00463EB3">
        <w:rPr>
          <w:bCs/>
          <w:spacing w:val="-14"/>
          <w:w w:val="80"/>
          <w:kern w:val="48"/>
        </w:rPr>
        <w:t xml:space="preserve"> με βάση το νέο οργανόγραμμα, που έχει κατατεθεί προς έγκριση. Όταν η ΔΕΦΑ αρχίσει την εισαγωγή φυσικού αερίου ο προϋπολογισμός αναμένεται να διαφοροποιηθεί σημαντικά, αφού σε αυτό θα περιλαμβάνονται τα έσοδα και τα έξοδα από την α</w:t>
      </w:r>
      <w:r w:rsidR="000D601D">
        <w:rPr>
          <w:bCs/>
          <w:spacing w:val="-14"/>
          <w:w w:val="80"/>
          <w:kern w:val="48"/>
        </w:rPr>
        <w:t xml:space="preserve">γοραπωλησία LNG, που εκτιμώνται, </w:t>
      </w:r>
      <w:r w:rsidR="00463EB3" w:rsidRPr="00463EB3">
        <w:rPr>
          <w:bCs/>
          <w:spacing w:val="-14"/>
          <w:w w:val="80"/>
          <w:kern w:val="48"/>
        </w:rPr>
        <w:t xml:space="preserve">στα περίπου 500 εκατ. Ευρώ </w:t>
      </w:r>
      <w:proofErr w:type="spellStart"/>
      <w:r w:rsidR="00463EB3" w:rsidRPr="00463EB3">
        <w:rPr>
          <w:bCs/>
          <w:spacing w:val="-14"/>
          <w:w w:val="80"/>
          <w:kern w:val="48"/>
        </w:rPr>
        <w:t>κατ΄</w:t>
      </w:r>
      <w:proofErr w:type="spellEnd"/>
      <w:r w:rsidR="00463EB3" w:rsidRPr="00463EB3">
        <w:rPr>
          <w:bCs/>
          <w:spacing w:val="-14"/>
          <w:w w:val="80"/>
          <w:kern w:val="48"/>
        </w:rPr>
        <w:t xml:space="preserve"> έτος. </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63EB3" w:rsidRPr="00463EB3">
        <w:rPr>
          <w:bCs/>
          <w:spacing w:val="-14"/>
          <w:w w:val="80"/>
          <w:kern w:val="48"/>
        </w:rPr>
        <w:t>Παράλληλα</w:t>
      </w:r>
      <w:r w:rsidR="000D601D">
        <w:rPr>
          <w:bCs/>
          <w:spacing w:val="-14"/>
          <w:w w:val="80"/>
          <w:kern w:val="48"/>
        </w:rPr>
        <w:t>,</w:t>
      </w:r>
      <w:r w:rsidR="00463EB3" w:rsidRPr="00463EB3">
        <w:rPr>
          <w:bCs/>
          <w:spacing w:val="-14"/>
          <w:w w:val="80"/>
          <w:kern w:val="48"/>
        </w:rPr>
        <w:t xml:space="preserve"> στην Επιτροπή ξεκίνησε η συζήτηση του προϋπολογισμού του Ταμείου Ανανεώσιμων Πηγών Ενέργειας και Εξοικονόμησης Ενέργειας (Ταμείο ΑΠΕ και ΕΞ.Ε) για το 2024, ο οποίος καθυστέρησε</w:t>
      </w:r>
      <w:r w:rsidR="000D601D">
        <w:rPr>
          <w:bCs/>
          <w:spacing w:val="-14"/>
          <w:w w:val="80"/>
          <w:kern w:val="48"/>
        </w:rPr>
        <w:t>,</w:t>
      </w:r>
      <w:r w:rsidR="00463EB3" w:rsidRPr="00463EB3">
        <w:rPr>
          <w:bCs/>
          <w:spacing w:val="-14"/>
          <w:w w:val="80"/>
          <w:kern w:val="48"/>
        </w:rPr>
        <w:t xml:space="preserve"> λόγω της παράλληλης προετοιμασίας του προγράμματος «</w:t>
      </w:r>
      <w:proofErr w:type="spellStart"/>
      <w:r w:rsidR="00463EB3" w:rsidRPr="00463EB3">
        <w:rPr>
          <w:bCs/>
          <w:spacing w:val="-14"/>
          <w:w w:val="80"/>
          <w:kern w:val="48"/>
        </w:rPr>
        <w:t>Φωτοβολταϊκά</w:t>
      </w:r>
      <w:proofErr w:type="spellEnd"/>
      <w:r w:rsidR="00463EB3" w:rsidRPr="00463EB3">
        <w:rPr>
          <w:bCs/>
          <w:spacing w:val="-14"/>
          <w:w w:val="80"/>
          <w:kern w:val="48"/>
        </w:rPr>
        <w:t xml:space="preserve"> για Όλους», πρόγραμμα</w:t>
      </w:r>
      <w:r w:rsidR="000D601D">
        <w:rPr>
          <w:bCs/>
          <w:spacing w:val="-14"/>
          <w:w w:val="80"/>
          <w:kern w:val="48"/>
        </w:rPr>
        <w:t>,</w:t>
      </w:r>
      <w:r w:rsidR="00463EB3" w:rsidRPr="00463EB3">
        <w:rPr>
          <w:bCs/>
          <w:spacing w:val="-14"/>
          <w:w w:val="80"/>
          <w:kern w:val="48"/>
        </w:rPr>
        <w:t xml:space="preserve"> το οποίο καταλαμβάνει μεγάλο μέρους του προϋπολογισμού. Ο προϋπολογισμός</w:t>
      </w:r>
      <w:r w:rsidR="000D601D">
        <w:rPr>
          <w:bCs/>
          <w:spacing w:val="-14"/>
          <w:w w:val="80"/>
          <w:kern w:val="48"/>
        </w:rPr>
        <w:t>,</w:t>
      </w:r>
      <w:r w:rsidR="00463EB3" w:rsidRPr="00463EB3">
        <w:rPr>
          <w:bCs/>
          <w:spacing w:val="-14"/>
          <w:w w:val="80"/>
          <w:kern w:val="48"/>
        </w:rPr>
        <w:t xml:space="preserve"> για το 2024</w:t>
      </w:r>
      <w:r w:rsidR="000D601D">
        <w:rPr>
          <w:bCs/>
          <w:spacing w:val="-14"/>
          <w:w w:val="80"/>
          <w:kern w:val="48"/>
        </w:rPr>
        <w:t>,</w:t>
      </w:r>
      <w:r w:rsidR="00463EB3" w:rsidRPr="00463EB3">
        <w:rPr>
          <w:bCs/>
          <w:spacing w:val="-14"/>
          <w:w w:val="80"/>
          <w:kern w:val="48"/>
        </w:rPr>
        <w:t xml:space="preserve"> προβλέπει</w:t>
      </w:r>
      <w:r w:rsidR="00B102C9">
        <w:rPr>
          <w:bCs/>
          <w:spacing w:val="-14"/>
          <w:w w:val="80"/>
          <w:kern w:val="48"/>
        </w:rPr>
        <w:t>,</w:t>
      </w:r>
      <w:r w:rsidR="00463EB3" w:rsidRPr="00463EB3">
        <w:rPr>
          <w:bCs/>
          <w:spacing w:val="-14"/>
          <w:w w:val="80"/>
          <w:kern w:val="48"/>
        </w:rPr>
        <w:t xml:space="preserve"> </w:t>
      </w:r>
      <w:r w:rsidR="00B102C9">
        <w:rPr>
          <w:bCs/>
          <w:spacing w:val="-14"/>
          <w:w w:val="80"/>
          <w:kern w:val="48"/>
        </w:rPr>
        <w:t>επίσης,</w:t>
      </w:r>
      <w:r w:rsidR="00463EB3" w:rsidRPr="00463EB3">
        <w:rPr>
          <w:bCs/>
          <w:spacing w:val="-14"/>
          <w:w w:val="80"/>
          <w:kern w:val="48"/>
        </w:rPr>
        <w:t xml:space="preserve"> έσοδα από την επιβολή τέλους κατανάλωσης</w:t>
      </w:r>
      <w:r w:rsidR="000D601D">
        <w:rPr>
          <w:bCs/>
          <w:spacing w:val="-14"/>
          <w:w w:val="80"/>
          <w:kern w:val="48"/>
        </w:rPr>
        <w:t>, ύψους 19,448 εκ</w:t>
      </w:r>
      <w:r w:rsidR="00463EB3" w:rsidRPr="00463EB3">
        <w:rPr>
          <w:bCs/>
          <w:spacing w:val="-14"/>
          <w:w w:val="80"/>
          <w:kern w:val="48"/>
        </w:rPr>
        <w:t>. Ευρώ. Σύμφωνα με το νομοσχέδιο του προϋπολογισμού του Ταμείο ΑΠΕ και ΕΞ.Ε</w:t>
      </w:r>
      <w:r w:rsidR="00B102C9">
        <w:rPr>
          <w:bCs/>
          <w:spacing w:val="-14"/>
          <w:w w:val="80"/>
          <w:kern w:val="48"/>
        </w:rPr>
        <w:t>,</w:t>
      </w:r>
      <w:r w:rsidR="00463EB3" w:rsidRPr="00463EB3">
        <w:rPr>
          <w:bCs/>
          <w:spacing w:val="-14"/>
          <w:w w:val="80"/>
          <w:kern w:val="48"/>
        </w:rPr>
        <w:t xml:space="preserve"> για το 2024</w:t>
      </w:r>
      <w:r w:rsidR="00B102C9">
        <w:rPr>
          <w:bCs/>
          <w:spacing w:val="-14"/>
          <w:w w:val="80"/>
          <w:kern w:val="48"/>
        </w:rPr>
        <w:t>,</w:t>
      </w:r>
      <w:r w:rsidR="00463EB3" w:rsidRPr="00463EB3">
        <w:rPr>
          <w:bCs/>
          <w:spacing w:val="-14"/>
          <w:w w:val="80"/>
          <w:kern w:val="48"/>
        </w:rPr>
        <w:t xml:space="preserve"> τα συνολικά έσοδα αναμέ</w:t>
      </w:r>
      <w:r w:rsidR="000D601D">
        <w:rPr>
          <w:bCs/>
          <w:spacing w:val="-14"/>
          <w:w w:val="80"/>
          <w:kern w:val="48"/>
        </w:rPr>
        <w:t>νεται να ανέλθουν σε 29,987 εκ</w:t>
      </w:r>
      <w:r w:rsidR="00463EB3" w:rsidRPr="00463EB3">
        <w:rPr>
          <w:bCs/>
          <w:spacing w:val="-14"/>
          <w:w w:val="80"/>
          <w:kern w:val="48"/>
        </w:rPr>
        <w:t>. Ευρώ (πλέον εκτι</w:t>
      </w:r>
      <w:r w:rsidR="000D601D">
        <w:rPr>
          <w:bCs/>
          <w:spacing w:val="-14"/>
          <w:w w:val="80"/>
          <w:kern w:val="48"/>
        </w:rPr>
        <w:t>μώμενου αποθεματικού 86,960 εκ</w:t>
      </w:r>
      <w:r w:rsidR="00463EB3" w:rsidRPr="00463EB3">
        <w:rPr>
          <w:bCs/>
          <w:spacing w:val="-14"/>
          <w:w w:val="80"/>
          <w:kern w:val="48"/>
        </w:rPr>
        <w:t>. Ευρώ στο τέλος του 202</w:t>
      </w:r>
      <w:r w:rsidR="000D601D">
        <w:rPr>
          <w:bCs/>
          <w:spacing w:val="-14"/>
          <w:w w:val="80"/>
          <w:kern w:val="48"/>
        </w:rPr>
        <w:t>3), εκ των οποίων, ποσό 2,23 εκ</w:t>
      </w:r>
      <w:r w:rsidR="00463EB3" w:rsidRPr="00463EB3">
        <w:rPr>
          <w:bCs/>
          <w:spacing w:val="-14"/>
          <w:w w:val="80"/>
          <w:kern w:val="48"/>
        </w:rPr>
        <w:t>. Ευρώ αφορά σε αποπληρωμές δανείων, από ενδιαφερόμενους, που θα ενταχθούν στην προγραμματιζόμενη κατηγορία του Σχεδίου Επιχορηγήσεων «</w:t>
      </w:r>
      <w:proofErr w:type="spellStart"/>
      <w:r w:rsidR="00463EB3" w:rsidRPr="00463EB3">
        <w:rPr>
          <w:bCs/>
          <w:spacing w:val="-14"/>
          <w:w w:val="80"/>
          <w:kern w:val="48"/>
        </w:rPr>
        <w:t>Φωτοβολταϊκά</w:t>
      </w:r>
      <w:proofErr w:type="spellEnd"/>
      <w:r w:rsidR="00463EB3" w:rsidRPr="00463EB3">
        <w:rPr>
          <w:bCs/>
          <w:spacing w:val="-14"/>
          <w:w w:val="80"/>
          <w:kern w:val="48"/>
        </w:rPr>
        <w:t xml:space="preserve"> για όλους». Το Ταμείο θα λάβει </w:t>
      </w:r>
      <w:r w:rsidR="00463EB3" w:rsidRPr="00463EB3">
        <w:rPr>
          <w:bCs/>
          <w:spacing w:val="-14"/>
          <w:w w:val="80"/>
          <w:kern w:val="48"/>
        </w:rPr>
        <w:lastRenderedPageBreak/>
        <w:t>επίσης κρατ</w:t>
      </w:r>
      <w:r w:rsidR="000D601D">
        <w:rPr>
          <w:bCs/>
          <w:spacing w:val="-14"/>
          <w:w w:val="80"/>
          <w:kern w:val="48"/>
        </w:rPr>
        <w:t>ική επιχορήγηση ύψους 5,922 εκ</w:t>
      </w:r>
      <w:r w:rsidR="00463EB3" w:rsidRPr="00463EB3">
        <w:rPr>
          <w:bCs/>
          <w:spacing w:val="-14"/>
          <w:w w:val="80"/>
          <w:kern w:val="48"/>
        </w:rPr>
        <w:t>. Ευρώ για τη χρηματοδότηση των Σχεδίων Χορηγιών του Ταμείου από τον Μηχανισμό Ανάκαμψης και</w:t>
      </w:r>
      <w:r w:rsidR="000D601D">
        <w:rPr>
          <w:bCs/>
          <w:spacing w:val="-14"/>
          <w:w w:val="80"/>
          <w:kern w:val="48"/>
        </w:rPr>
        <w:t xml:space="preserve"> </w:t>
      </w:r>
      <w:r w:rsidR="00463EB3" w:rsidRPr="00463EB3">
        <w:rPr>
          <w:bCs/>
          <w:spacing w:val="-14"/>
          <w:w w:val="80"/>
          <w:kern w:val="48"/>
        </w:rPr>
        <w:t xml:space="preserve"> Ανθεκτικότητας της ΕΕ (Κανονισμός (ΕΕ) 2021/241). </w:t>
      </w:r>
      <w:r w:rsidR="000D601D">
        <w:rPr>
          <w:bCs/>
          <w:spacing w:val="-14"/>
          <w:w w:val="80"/>
          <w:kern w:val="48"/>
        </w:rPr>
        <w:t xml:space="preserve">Επίσης, </w:t>
      </w:r>
      <w:r w:rsidR="00463EB3" w:rsidRPr="00463EB3">
        <w:rPr>
          <w:bCs/>
          <w:spacing w:val="-14"/>
          <w:w w:val="80"/>
          <w:kern w:val="48"/>
        </w:rPr>
        <w:t xml:space="preserve"> το Ταμείο αναμένεται να έχε</w:t>
      </w:r>
      <w:r w:rsidR="000D601D">
        <w:rPr>
          <w:bCs/>
          <w:spacing w:val="-14"/>
          <w:w w:val="80"/>
          <w:kern w:val="48"/>
        </w:rPr>
        <w:t>ι έσοδα της τάξης των 813,6 εκ</w:t>
      </w:r>
      <w:r w:rsidR="00463EB3" w:rsidRPr="00463EB3">
        <w:rPr>
          <w:bCs/>
          <w:spacing w:val="-14"/>
          <w:w w:val="80"/>
          <w:kern w:val="48"/>
        </w:rPr>
        <w:t>. Ευρώ, από τα αντισταθμιστικά οφέλη, που εισπράττει η </w:t>
      </w:r>
      <w:r w:rsidR="000D601D">
        <w:rPr>
          <w:bCs/>
          <w:spacing w:val="-14"/>
          <w:w w:val="80"/>
          <w:kern w:val="48"/>
        </w:rPr>
        <w:t>Αρχή Ηλεκτρισμού Κύπρου (</w:t>
      </w:r>
      <w:r w:rsidR="00463EB3" w:rsidRPr="00463EB3">
        <w:rPr>
          <w:bCs/>
          <w:spacing w:val="-14"/>
          <w:w w:val="80"/>
          <w:kern w:val="48"/>
        </w:rPr>
        <w:t>ΑΗΚ</w:t>
      </w:r>
      <w:r w:rsidR="000D601D">
        <w:rPr>
          <w:bCs/>
          <w:spacing w:val="-14"/>
          <w:w w:val="80"/>
          <w:kern w:val="48"/>
        </w:rPr>
        <w:t>)</w:t>
      </w:r>
      <w:r w:rsidR="00463EB3" w:rsidRPr="00463EB3">
        <w:rPr>
          <w:bCs/>
          <w:spacing w:val="-14"/>
          <w:w w:val="80"/>
          <w:kern w:val="48"/>
        </w:rPr>
        <w:t>. Οι συνολικές δαπάνες, που περιλαμβάνονται στον προϋπολο</w:t>
      </w:r>
      <w:r w:rsidR="000D601D">
        <w:rPr>
          <w:bCs/>
          <w:spacing w:val="-14"/>
          <w:w w:val="80"/>
          <w:kern w:val="48"/>
        </w:rPr>
        <w:t>γισμό ανέρχονται σε 111,947 εκ</w:t>
      </w:r>
      <w:r w:rsidR="00463EB3" w:rsidRPr="00463EB3">
        <w:rPr>
          <w:bCs/>
          <w:spacing w:val="-14"/>
          <w:w w:val="80"/>
          <w:kern w:val="48"/>
        </w:rPr>
        <w:t>. Ευρώ. Από αυτές</w:t>
      </w:r>
      <w:r w:rsidR="000D601D">
        <w:rPr>
          <w:bCs/>
          <w:spacing w:val="-14"/>
          <w:w w:val="80"/>
          <w:kern w:val="48"/>
        </w:rPr>
        <w:t>,</w:t>
      </w:r>
      <w:r w:rsidR="00463EB3" w:rsidRPr="00463EB3">
        <w:rPr>
          <w:bCs/>
          <w:spacing w:val="-14"/>
          <w:w w:val="80"/>
          <w:kern w:val="48"/>
        </w:rPr>
        <w:t xml:space="preserve">  δα</w:t>
      </w:r>
      <w:r w:rsidR="000D601D">
        <w:rPr>
          <w:bCs/>
          <w:spacing w:val="-14"/>
          <w:w w:val="80"/>
          <w:kern w:val="48"/>
        </w:rPr>
        <w:t>πάνες, ύψους 110,41 εκ</w:t>
      </w:r>
      <w:r w:rsidR="00463EB3" w:rsidRPr="00463EB3">
        <w:rPr>
          <w:bCs/>
          <w:spacing w:val="-14"/>
          <w:w w:val="80"/>
          <w:kern w:val="48"/>
        </w:rPr>
        <w:t>. Ευρώ</w:t>
      </w:r>
      <w:r w:rsidR="000D601D">
        <w:rPr>
          <w:bCs/>
          <w:spacing w:val="-14"/>
          <w:w w:val="80"/>
          <w:kern w:val="48"/>
        </w:rPr>
        <w:t>,</w:t>
      </w:r>
      <w:r w:rsidR="00463EB3" w:rsidRPr="00463EB3">
        <w:rPr>
          <w:bCs/>
          <w:spacing w:val="-14"/>
          <w:w w:val="80"/>
          <w:kern w:val="48"/>
        </w:rPr>
        <w:t xml:space="preserve"> αφορούν σε επιχορηγήσεις και επιδοτήσε</w:t>
      </w:r>
      <w:r w:rsidR="000D601D">
        <w:rPr>
          <w:bCs/>
          <w:spacing w:val="-14"/>
          <w:w w:val="80"/>
          <w:kern w:val="48"/>
        </w:rPr>
        <w:t>ις, μεταξύ των οποίων</w:t>
      </w:r>
      <w:r w:rsidR="00DB6806">
        <w:rPr>
          <w:bCs/>
          <w:spacing w:val="-14"/>
          <w:w w:val="80"/>
          <w:kern w:val="48"/>
        </w:rPr>
        <w:t>,</w:t>
      </w:r>
      <w:r w:rsidR="000D601D">
        <w:rPr>
          <w:bCs/>
          <w:spacing w:val="-14"/>
          <w:w w:val="80"/>
          <w:kern w:val="48"/>
        </w:rPr>
        <w:t xml:space="preserve"> 22,55 εκ</w:t>
      </w:r>
      <w:r w:rsidR="00463EB3" w:rsidRPr="00463EB3">
        <w:rPr>
          <w:bCs/>
          <w:spacing w:val="-14"/>
          <w:w w:val="80"/>
          <w:kern w:val="48"/>
        </w:rPr>
        <w:t xml:space="preserve">. Ευρώ για προγράμματα επιδοτήσεων προηγούμενων ετών στον τομέα </w:t>
      </w:r>
      <w:r w:rsidR="000D601D">
        <w:rPr>
          <w:bCs/>
          <w:spacing w:val="-14"/>
          <w:w w:val="80"/>
          <w:kern w:val="48"/>
        </w:rPr>
        <w:t xml:space="preserve">της </w:t>
      </w:r>
      <w:r w:rsidR="00463EB3" w:rsidRPr="00463EB3">
        <w:rPr>
          <w:bCs/>
          <w:spacing w:val="-14"/>
          <w:w w:val="80"/>
          <w:kern w:val="48"/>
        </w:rPr>
        <w:t>ηλεκτροπαραγωγής </w:t>
      </w:r>
      <w:r w:rsidR="000D601D">
        <w:rPr>
          <w:bCs/>
          <w:spacing w:val="-14"/>
          <w:w w:val="80"/>
          <w:kern w:val="48"/>
        </w:rPr>
        <w:t xml:space="preserve"> </w:t>
      </w:r>
      <w:r w:rsidR="00463EB3" w:rsidRPr="00463EB3">
        <w:rPr>
          <w:bCs/>
          <w:spacing w:val="-14"/>
          <w:w w:val="80"/>
          <w:kern w:val="48"/>
        </w:rPr>
        <w:t>από </w:t>
      </w:r>
      <w:r w:rsidR="000D601D">
        <w:rPr>
          <w:bCs/>
          <w:spacing w:val="-14"/>
          <w:w w:val="80"/>
          <w:kern w:val="48"/>
        </w:rPr>
        <w:t xml:space="preserve"> </w:t>
      </w:r>
      <w:r w:rsidR="00463EB3" w:rsidRPr="00463EB3">
        <w:rPr>
          <w:bCs/>
          <w:spacing w:val="-14"/>
          <w:w w:val="80"/>
          <w:kern w:val="48"/>
        </w:rPr>
        <w:t>ΑΠΕ </w:t>
      </w:r>
      <w:r w:rsidR="000D601D">
        <w:rPr>
          <w:bCs/>
          <w:spacing w:val="-14"/>
          <w:w w:val="80"/>
          <w:kern w:val="48"/>
        </w:rPr>
        <w:t>και 87,86 εκ</w:t>
      </w:r>
      <w:r w:rsidR="00463EB3" w:rsidRPr="00463EB3">
        <w:rPr>
          <w:bCs/>
          <w:spacing w:val="-14"/>
          <w:w w:val="80"/>
          <w:kern w:val="48"/>
        </w:rPr>
        <w:t>. Ευρώ σε προγράμματα επιδοτήσεων για την ενθάρρυνση της χρήσης ΑΠΕ κ</w:t>
      </w:r>
      <w:r w:rsidR="00133F4D">
        <w:rPr>
          <w:bCs/>
          <w:spacing w:val="-14"/>
          <w:w w:val="80"/>
          <w:kern w:val="48"/>
        </w:rPr>
        <w:t>αι ΕΞ.Ε, εκ των οποίων 35,1 εκ</w:t>
      </w:r>
      <w:r w:rsidR="00463EB3" w:rsidRPr="00463EB3">
        <w:rPr>
          <w:bCs/>
          <w:spacing w:val="-14"/>
          <w:w w:val="80"/>
          <w:kern w:val="48"/>
        </w:rPr>
        <w:t>. Ευρώ κατευθύνονται σε ενισχύσεις προς ευάλωτες ομάδες πληθυσμού</w:t>
      </w:r>
      <w:r w:rsidR="00133F4D">
        <w:rPr>
          <w:bCs/>
          <w:spacing w:val="-14"/>
          <w:w w:val="80"/>
          <w:kern w:val="48"/>
        </w:rPr>
        <w:t>. Ακόμα δαπάνες ύψους 813,6 εκ</w:t>
      </w:r>
      <w:r w:rsidR="00463EB3" w:rsidRPr="00463EB3">
        <w:rPr>
          <w:bCs/>
          <w:spacing w:val="-14"/>
          <w:w w:val="80"/>
          <w:kern w:val="48"/>
        </w:rPr>
        <w:t xml:space="preserve">. Ευρώ αφορούν σε αντισταθμιστικά οφέλη προς τις γειτνιάζουσες κοινότητες με μεγάλα αιολικά πάρκα και μονάδες βιομάζας. Περιλαμβάνονται </w:t>
      </w:r>
      <w:r w:rsidR="00133F4D">
        <w:rPr>
          <w:bCs/>
          <w:spacing w:val="-14"/>
          <w:w w:val="80"/>
          <w:kern w:val="48"/>
        </w:rPr>
        <w:t>επίσης,</w:t>
      </w:r>
      <w:r w:rsidR="00463EB3" w:rsidRPr="00463EB3">
        <w:rPr>
          <w:bCs/>
          <w:spacing w:val="-14"/>
          <w:w w:val="80"/>
          <w:kern w:val="48"/>
        </w:rPr>
        <w:t xml:space="preserve"> λειτουργικές και άλλες δαπάνες</w:t>
      </w:r>
      <w:r w:rsidR="00133F4D">
        <w:rPr>
          <w:bCs/>
          <w:spacing w:val="-14"/>
          <w:w w:val="80"/>
          <w:kern w:val="48"/>
        </w:rPr>
        <w:t>, ύψους 726,2 εκ</w:t>
      </w:r>
      <w:r w:rsidR="00463EB3" w:rsidRPr="00463EB3">
        <w:rPr>
          <w:bCs/>
          <w:spacing w:val="-14"/>
          <w:w w:val="80"/>
          <w:kern w:val="48"/>
        </w:rPr>
        <w:t>. Ευρώ</w:t>
      </w:r>
      <w:r w:rsidR="00463EB3">
        <w:rPr>
          <w:bCs/>
          <w:spacing w:val="-14"/>
          <w:w w:val="80"/>
          <w:kern w:val="48"/>
        </w:rPr>
        <w:t>.</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21642C" w:rsidRDefault="00484C36"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b/>
          <w:color w:val="0070C0"/>
          <w:spacing w:val="-14"/>
          <w:w w:val="80"/>
          <w:kern w:val="48"/>
        </w:rPr>
        <w:t xml:space="preserve">2. </w:t>
      </w:r>
      <w:r w:rsidR="00CB3882" w:rsidRPr="00B77D7A">
        <w:rPr>
          <w:b/>
          <w:color w:val="0070C0"/>
          <w:spacing w:val="-14"/>
          <w:w w:val="80"/>
          <w:kern w:val="48"/>
        </w:rPr>
        <w:t xml:space="preserve">ΜΕΤΑΦΟΡΕΣ </w:t>
      </w:r>
      <w:r w:rsidR="00E50B10" w:rsidRPr="00B77D7A">
        <w:rPr>
          <w:b/>
          <w:color w:val="0070C0"/>
          <w:spacing w:val="-14"/>
          <w:w w:val="80"/>
          <w:kern w:val="48"/>
        </w:rPr>
        <w:t xml:space="preserve">- ΝΑΥΤΙΛΙΑ </w:t>
      </w:r>
      <w:r w:rsidR="00DB6806">
        <w:rPr>
          <w:b/>
          <w:color w:val="0070C0"/>
          <w:spacing w:val="-14"/>
          <w:w w:val="80"/>
          <w:kern w:val="48"/>
        </w:rPr>
        <w:t>–</w:t>
      </w:r>
      <w:r w:rsidR="00E50B10" w:rsidRPr="00B77D7A">
        <w:rPr>
          <w:b/>
          <w:color w:val="0070C0"/>
          <w:spacing w:val="-14"/>
          <w:w w:val="80"/>
          <w:kern w:val="48"/>
        </w:rPr>
        <w:t xml:space="preserve"> </w:t>
      </w:r>
      <w:r w:rsidR="00CB3882" w:rsidRPr="00B77D7A">
        <w:rPr>
          <w:b/>
          <w:color w:val="0070C0"/>
          <w:spacing w:val="-14"/>
          <w:w w:val="80"/>
          <w:kern w:val="48"/>
        </w:rPr>
        <w:t>ΤΟΥΡΙΣΜΟΣ</w:t>
      </w:r>
    </w:p>
    <w:p w:rsidR="0021642C" w:rsidRDefault="0078337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b/>
          <w:color w:val="0070C0"/>
          <w:spacing w:val="-14"/>
          <w:w w:val="80"/>
          <w:kern w:val="48"/>
        </w:rPr>
        <w:t xml:space="preserve">2.1 </w:t>
      </w:r>
      <w:r w:rsidR="009F3817" w:rsidRPr="00B77D7A">
        <w:rPr>
          <w:b/>
          <w:color w:val="0070C0"/>
          <w:spacing w:val="-14"/>
          <w:w w:val="80"/>
          <w:kern w:val="48"/>
        </w:rPr>
        <w:t xml:space="preserve"> </w:t>
      </w:r>
      <w:r w:rsidR="002D4F90" w:rsidRPr="00B77D7A">
        <w:rPr>
          <w:b/>
          <w:bCs/>
          <w:color w:val="0070C0"/>
          <w:spacing w:val="-14"/>
          <w:w w:val="80"/>
          <w:kern w:val="48"/>
        </w:rPr>
        <w:t>Έναρξη ακτοπλοϊκής σύνδεσης Λεμεσού</w:t>
      </w:r>
      <w:r w:rsidR="00932803">
        <w:rPr>
          <w:b/>
          <w:bCs/>
          <w:color w:val="0070C0"/>
          <w:spacing w:val="-14"/>
          <w:w w:val="80"/>
          <w:kern w:val="48"/>
        </w:rPr>
        <w:t xml:space="preserve"> </w:t>
      </w:r>
      <w:r w:rsidR="002D4F90" w:rsidRPr="00B77D7A">
        <w:rPr>
          <w:b/>
          <w:bCs/>
          <w:color w:val="0070C0"/>
          <w:spacing w:val="-14"/>
          <w:w w:val="80"/>
          <w:kern w:val="48"/>
        </w:rPr>
        <w:t>-</w:t>
      </w:r>
      <w:r w:rsidR="00932803">
        <w:rPr>
          <w:b/>
          <w:bCs/>
          <w:color w:val="0070C0"/>
          <w:spacing w:val="-14"/>
          <w:w w:val="80"/>
          <w:kern w:val="48"/>
        </w:rPr>
        <w:t xml:space="preserve"> </w:t>
      </w:r>
      <w:r w:rsidR="002D4F90" w:rsidRPr="00B77D7A">
        <w:rPr>
          <w:b/>
          <w:bCs/>
          <w:color w:val="0070C0"/>
          <w:spacing w:val="-14"/>
          <w:w w:val="80"/>
          <w:kern w:val="48"/>
        </w:rPr>
        <w:t xml:space="preserve">Πειραιά </w:t>
      </w:r>
      <w:r w:rsidR="00932803">
        <w:rPr>
          <w:b/>
          <w:bCs/>
          <w:color w:val="0070C0"/>
          <w:spacing w:val="-14"/>
          <w:w w:val="80"/>
          <w:kern w:val="48"/>
        </w:rPr>
        <w:t xml:space="preserve">για </w:t>
      </w:r>
      <w:r w:rsidR="002D4F90" w:rsidRPr="00B77D7A">
        <w:rPr>
          <w:b/>
          <w:bCs/>
          <w:color w:val="0070C0"/>
          <w:spacing w:val="-14"/>
          <w:w w:val="80"/>
          <w:kern w:val="48"/>
        </w:rPr>
        <w:t>το 2024.</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2D4F90" w:rsidRPr="00A36633">
        <w:rPr>
          <w:rFonts w:cs="Arial"/>
          <w:bCs/>
          <w:spacing w:val="-14"/>
          <w:w w:val="80"/>
          <w:kern w:val="48"/>
        </w:rPr>
        <w:t xml:space="preserve"> Στις 29 Μαΐου </w:t>
      </w:r>
      <w:proofErr w:type="spellStart"/>
      <w:r w:rsidR="002D4F90" w:rsidRPr="00A36633">
        <w:rPr>
          <w:rFonts w:cs="Arial"/>
          <w:bCs/>
          <w:spacing w:val="-14"/>
          <w:w w:val="80"/>
          <w:kern w:val="48"/>
        </w:rPr>
        <w:t>τ.έ</w:t>
      </w:r>
      <w:proofErr w:type="spellEnd"/>
      <w:r w:rsidR="002D4F90" w:rsidRPr="00A36633">
        <w:rPr>
          <w:rFonts w:cs="Arial"/>
          <w:bCs/>
          <w:spacing w:val="-14"/>
          <w:w w:val="80"/>
          <w:kern w:val="48"/>
        </w:rPr>
        <w:t>. ξεκινούν τα δρομολόγια μεταξύ Λεμεσού και Πειραιά με το κυπριακής σημαίας πλοίο «</w:t>
      </w:r>
      <w:proofErr w:type="spellStart"/>
      <w:r w:rsidR="002D4F90" w:rsidRPr="00A36633">
        <w:rPr>
          <w:rFonts w:cs="Arial"/>
          <w:bCs/>
          <w:spacing w:val="-14"/>
          <w:w w:val="80"/>
          <w:kern w:val="48"/>
        </w:rPr>
        <w:t>Daleela</w:t>
      </w:r>
      <w:proofErr w:type="spellEnd"/>
      <w:r w:rsidR="002D4F90" w:rsidRPr="00A36633">
        <w:rPr>
          <w:rFonts w:cs="Arial"/>
          <w:bCs/>
          <w:spacing w:val="-14"/>
          <w:w w:val="80"/>
          <w:kern w:val="48"/>
        </w:rPr>
        <w:t>», που θα συνδέσει ακτοπλοϊκά την Κύπρο με την Ελλάδα</w:t>
      </w:r>
      <w:r w:rsidR="00DB6806">
        <w:rPr>
          <w:rFonts w:cs="Arial"/>
          <w:bCs/>
          <w:spacing w:val="-14"/>
          <w:w w:val="80"/>
          <w:kern w:val="48"/>
        </w:rPr>
        <w:t>,</w:t>
      </w:r>
      <w:r w:rsidR="002D4F90" w:rsidRPr="00A36633">
        <w:rPr>
          <w:rFonts w:cs="Arial"/>
          <w:bCs/>
          <w:spacing w:val="-14"/>
          <w:w w:val="80"/>
          <w:kern w:val="48"/>
        </w:rPr>
        <w:t xml:space="preserve"> για τρίτη συνεχόμενη χρονιά, όπως ανακοίνωσε η πλοιοκτήτρια εταιρεία </w:t>
      </w:r>
      <w:proofErr w:type="spellStart"/>
      <w:r w:rsidR="002D4F90" w:rsidRPr="00A36633">
        <w:rPr>
          <w:rFonts w:cs="Arial"/>
          <w:bCs/>
          <w:spacing w:val="-14"/>
          <w:w w:val="80"/>
          <w:kern w:val="48"/>
        </w:rPr>
        <w:t>Scandro</w:t>
      </w:r>
      <w:proofErr w:type="spellEnd"/>
      <w:r w:rsidR="002D4F90" w:rsidRPr="00A36633">
        <w:rPr>
          <w:rFonts w:cs="Arial"/>
          <w:bCs/>
          <w:spacing w:val="-14"/>
          <w:w w:val="80"/>
          <w:kern w:val="48"/>
        </w:rPr>
        <w:t xml:space="preserve"> </w:t>
      </w:r>
      <w:proofErr w:type="spellStart"/>
      <w:r w:rsidR="002D4F90" w:rsidRPr="00A36633">
        <w:rPr>
          <w:rFonts w:cs="Arial"/>
          <w:bCs/>
          <w:spacing w:val="-14"/>
          <w:w w:val="80"/>
          <w:kern w:val="48"/>
        </w:rPr>
        <w:t>Holdings</w:t>
      </w:r>
      <w:proofErr w:type="spellEnd"/>
      <w:r w:rsidR="002D4F90" w:rsidRPr="00A36633">
        <w:rPr>
          <w:rFonts w:cs="Arial"/>
          <w:bCs/>
          <w:spacing w:val="-14"/>
          <w:w w:val="80"/>
          <w:kern w:val="48"/>
        </w:rPr>
        <w:t xml:space="preserve"> LTD στις 11.4. </w:t>
      </w:r>
      <w:proofErr w:type="spellStart"/>
      <w:r w:rsidR="002D4F90" w:rsidRPr="00A36633">
        <w:rPr>
          <w:rFonts w:cs="Arial"/>
          <w:bCs/>
          <w:spacing w:val="-14"/>
          <w:w w:val="80"/>
          <w:kern w:val="48"/>
        </w:rPr>
        <w:t>τ.έ</w:t>
      </w:r>
      <w:proofErr w:type="spellEnd"/>
      <w:r w:rsidR="002D4F90" w:rsidRPr="00A36633">
        <w:rPr>
          <w:rFonts w:cs="Arial"/>
          <w:bCs/>
          <w:spacing w:val="-14"/>
          <w:w w:val="80"/>
          <w:kern w:val="48"/>
        </w:rPr>
        <w:t>. Συγκεκριμένα,  το πρώτο δρομολόγιο του εν λόγω πλοίου θα πραγματοποιηθεί</w:t>
      </w:r>
      <w:r w:rsidR="00932803">
        <w:rPr>
          <w:rFonts w:cs="Arial"/>
          <w:bCs/>
          <w:spacing w:val="-14"/>
          <w:w w:val="80"/>
          <w:kern w:val="48"/>
        </w:rPr>
        <w:t>,</w:t>
      </w:r>
      <w:r w:rsidR="002D4F90" w:rsidRPr="00A36633">
        <w:rPr>
          <w:rFonts w:cs="Arial"/>
          <w:bCs/>
          <w:spacing w:val="-14"/>
          <w:w w:val="80"/>
          <w:kern w:val="48"/>
        </w:rPr>
        <w:t xml:space="preserve"> για το 2024</w:t>
      </w:r>
      <w:r w:rsidR="00932803">
        <w:rPr>
          <w:rFonts w:cs="Arial"/>
          <w:bCs/>
          <w:spacing w:val="-14"/>
          <w:w w:val="80"/>
          <w:kern w:val="48"/>
        </w:rPr>
        <w:t>,</w:t>
      </w:r>
      <w:r w:rsidR="002D4F90" w:rsidRPr="00A36633">
        <w:rPr>
          <w:rFonts w:cs="Arial"/>
          <w:bCs/>
          <w:spacing w:val="-14"/>
          <w:w w:val="80"/>
          <w:kern w:val="48"/>
        </w:rPr>
        <w:t xml:space="preserve"> από το λιμάνι της Λεμεσού</w:t>
      </w:r>
      <w:r w:rsidR="00932803">
        <w:rPr>
          <w:rFonts w:cs="Arial"/>
          <w:bCs/>
          <w:spacing w:val="-14"/>
          <w:w w:val="80"/>
          <w:kern w:val="48"/>
        </w:rPr>
        <w:t>,</w:t>
      </w:r>
      <w:r w:rsidR="002D4F90" w:rsidRPr="00A36633">
        <w:rPr>
          <w:rFonts w:cs="Arial"/>
          <w:bCs/>
          <w:spacing w:val="-14"/>
          <w:w w:val="80"/>
          <w:kern w:val="48"/>
        </w:rPr>
        <w:t xml:space="preserve"> στις 29 Μαΐου 2024, ενώ το τελευταίο δρομολόγιο από τον λιμάνι του Πειραιά έχει οριστεί</w:t>
      </w:r>
      <w:r w:rsidR="00932803">
        <w:rPr>
          <w:rFonts w:cs="Arial"/>
          <w:bCs/>
          <w:spacing w:val="-14"/>
          <w:w w:val="80"/>
          <w:kern w:val="48"/>
        </w:rPr>
        <w:t>,</w:t>
      </w:r>
      <w:r w:rsidR="002D4F90" w:rsidRPr="00A36633">
        <w:rPr>
          <w:rFonts w:cs="Arial"/>
          <w:bCs/>
          <w:spacing w:val="-14"/>
          <w:w w:val="80"/>
          <w:kern w:val="48"/>
        </w:rPr>
        <w:t xml:space="preserve"> για τις 3 Σεπτεμβρίου 2024.</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2D4F90" w:rsidRPr="00A36633">
        <w:rPr>
          <w:rFonts w:cs="Arial"/>
          <w:bCs/>
          <w:spacing w:val="-14"/>
          <w:w w:val="80"/>
          <w:kern w:val="48"/>
        </w:rPr>
        <w:t>Αν και η διαδρομή διαρκεί</w:t>
      </w:r>
      <w:r w:rsidR="00932803">
        <w:rPr>
          <w:rFonts w:cs="Arial"/>
          <w:bCs/>
          <w:spacing w:val="-14"/>
          <w:w w:val="80"/>
          <w:kern w:val="48"/>
        </w:rPr>
        <w:t>,</w:t>
      </w:r>
      <w:r w:rsidR="002D4F90" w:rsidRPr="00A36633">
        <w:rPr>
          <w:rFonts w:cs="Arial"/>
          <w:bCs/>
          <w:spacing w:val="-14"/>
          <w:w w:val="80"/>
          <w:kern w:val="48"/>
        </w:rPr>
        <w:t xml:space="preserve"> περίπου 30 ώρες, το ενδιαφέρον των ταξιδιωτών είναι αυξημένο. Τα δύο προηγούμενα έτη 2023 και 2022 (έτος επαναλειτουργίας της ακτοπλοϊκής σύνδεσης Πειραιά – Λεμεσού) τα εισιτήρια έγιναν ανάρπαστα. Η σημαντική διαφορά</w:t>
      </w:r>
      <w:r w:rsidR="00932803">
        <w:rPr>
          <w:rFonts w:cs="Arial"/>
          <w:bCs/>
          <w:spacing w:val="-14"/>
          <w:w w:val="80"/>
          <w:kern w:val="48"/>
        </w:rPr>
        <w:t>,</w:t>
      </w:r>
      <w:r w:rsidR="002D4F90" w:rsidRPr="00A36633">
        <w:rPr>
          <w:rFonts w:cs="Arial"/>
          <w:bCs/>
          <w:spacing w:val="-14"/>
          <w:w w:val="80"/>
          <w:kern w:val="48"/>
        </w:rPr>
        <w:t xml:space="preserve"> πάντως</w:t>
      </w:r>
      <w:r w:rsidR="00932803">
        <w:rPr>
          <w:rFonts w:cs="Arial"/>
          <w:bCs/>
          <w:spacing w:val="-14"/>
          <w:w w:val="80"/>
          <w:kern w:val="48"/>
        </w:rPr>
        <w:t>,</w:t>
      </w:r>
      <w:r w:rsidR="002D4F90" w:rsidRPr="00A36633">
        <w:rPr>
          <w:rFonts w:cs="Arial"/>
          <w:bCs/>
          <w:spacing w:val="-14"/>
          <w:w w:val="80"/>
          <w:kern w:val="48"/>
        </w:rPr>
        <w:t xml:space="preserve"> για το 2024 είναι ότι οι Κύπριοι πολίτες δεν θα έχουν την ευκαιρία να πάρουν το πλοίο και από το λιμάνι της Λάρνακας, αφού τα δρομολόγια θα πραγματοποιούνται μόνο από/προς Λεμεσό.</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2D4F90" w:rsidRPr="00A36633">
        <w:rPr>
          <w:rFonts w:cs="Arial"/>
          <w:bCs/>
          <w:spacing w:val="-14"/>
          <w:w w:val="80"/>
          <w:kern w:val="48"/>
        </w:rPr>
        <w:t>Σύμφωνα με το τιμολόγιο, που η εταιρεία έχει αναρτήσει στο διαδίκτυο, οι τιμές εμφανίζουν οριακή αύξηση</w:t>
      </w:r>
      <w:r w:rsidR="00932803">
        <w:rPr>
          <w:rFonts w:cs="Arial"/>
          <w:bCs/>
          <w:spacing w:val="-14"/>
          <w:w w:val="80"/>
          <w:kern w:val="48"/>
        </w:rPr>
        <w:t>,</w:t>
      </w:r>
      <w:r w:rsidR="002D4F90" w:rsidRPr="00A36633">
        <w:rPr>
          <w:rFonts w:cs="Arial"/>
          <w:bCs/>
          <w:spacing w:val="-14"/>
          <w:w w:val="80"/>
          <w:kern w:val="48"/>
        </w:rPr>
        <w:t xml:space="preserve"> σε σχέση με το 2023, ενώ</w:t>
      </w:r>
      <w:r w:rsidR="00DB6806">
        <w:rPr>
          <w:rFonts w:cs="Arial"/>
          <w:bCs/>
          <w:spacing w:val="-14"/>
          <w:w w:val="80"/>
          <w:kern w:val="48"/>
        </w:rPr>
        <w:t>,</w:t>
      </w:r>
      <w:r w:rsidR="002D4F90" w:rsidRPr="00A36633">
        <w:rPr>
          <w:rFonts w:cs="Arial"/>
          <w:bCs/>
          <w:spacing w:val="-14"/>
          <w:w w:val="80"/>
          <w:kern w:val="48"/>
        </w:rPr>
        <w:t xml:space="preserve"> σε σχέση με το 2022</w:t>
      </w:r>
      <w:r w:rsidR="00DB6806">
        <w:rPr>
          <w:rFonts w:cs="Arial"/>
          <w:bCs/>
          <w:spacing w:val="-14"/>
          <w:w w:val="80"/>
          <w:kern w:val="48"/>
        </w:rPr>
        <w:t>,</w:t>
      </w:r>
      <w:r w:rsidR="002D4F90" w:rsidRPr="00A36633">
        <w:rPr>
          <w:rFonts w:cs="Arial"/>
          <w:bCs/>
          <w:spacing w:val="-14"/>
          <w:w w:val="80"/>
          <w:kern w:val="48"/>
        </w:rPr>
        <w:t xml:space="preserve"> οι τιμές είναι αυξημένες</w:t>
      </w:r>
      <w:r w:rsidR="00DB6806">
        <w:rPr>
          <w:rFonts w:cs="Arial"/>
          <w:bCs/>
          <w:spacing w:val="-14"/>
          <w:w w:val="80"/>
          <w:kern w:val="48"/>
        </w:rPr>
        <w:t>,</w:t>
      </w:r>
      <w:r w:rsidR="002D4F90" w:rsidRPr="00A36633">
        <w:rPr>
          <w:rFonts w:cs="Arial"/>
          <w:bCs/>
          <w:spacing w:val="-14"/>
          <w:w w:val="80"/>
          <w:kern w:val="48"/>
        </w:rPr>
        <w:t xml:space="preserve"> κατά 10%. Η αύξηση αποδίδεται στο γενικότερο κύμα ακρίβειας και στην τρέχουσα διαμόρφωση των τιμών των καυσίμων, ενώ και η πράσινη φορολογία αναμένεται να επιφέρει περαιτέρω αυξήσεις. Το εύρος των τιμών ποικίλει ανάλογα με την κατηγορία της καμπίνας (</w:t>
      </w:r>
      <w:r w:rsidR="002D4F90" w:rsidRPr="00A36633">
        <w:rPr>
          <w:rFonts w:cs="Arial"/>
          <w:bCs/>
          <w:spacing w:val="-14"/>
          <w:w w:val="80"/>
          <w:kern w:val="48"/>
          <w:lang w:val="en-US"/>
        </w:rPr>
        <w:t>VIP</w:t>
      </w:r>
      <w:r w:rsidR="002D4F90" w:rsidRPr="00A36633">
        <w:rPr>
          <w:rFonts w:cs="Arial"/>
          <w:bCs/>
          <w:spacing w:val="-14"/>
          <w:w w:val="80"/>
          <w:kern w:val="48"/>
        </w:rPr>
        <w:t xml:space="preserve">, δεύτερης θέσης κτλ) και την κατηγορία των επιβατών (ενήλικες, παιδιά).  Και βέβαια υπάρχει η δυνατότητα μεταφοράς μηχανοκινήτων και </w:t>
      </w:r>
      <w:proofErr w:type="spellStart"/>
      <w:r w:rsidR="002D4F90" w:rsidRPr="00A36633">
        <w:rPr>
          <w:rFonts w:cs="Arial"/>
          <w:bCs/>
          <w:spacing w:val="-14"/>
          <w:w w:val="80"/>
          <w:kern w:val="48"/>
        </w:rPr>
        <w:t>κατοικιδίων</w:t>
      </w:r>
      <w:proofErr w:type="spellEnd"/>
      <w:r w:rsidR="002D4F90" w:rsidRPr="00A36633">
        <w:rPr>
          <w:rFonts w:cs="Arial"/>
          <w:bCs/>
          <w:spacing w:val="-14"/>
          <w:w w:val="80"/>
          <w:kern w:val="48"/>
        </w:rPr>
        <w:t xml:space="preserve">. </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2D4F90" w:rsidRPr="00A36633">
        <w:rPr>
          <w:rFonts w:cs="Arial"/>
          <w:bCs/>
          <w:spacing w:val="-14"/>
          <w:w w:val="80"/>
          <w:kern w:val="48"/>
        </w:rPr>
        <w:t xml:space="preserve">Στις 16.4. </w:t>
      </w:r>
      <w:proofErr w:type="spellStart"/>
      <w:r w:rsidR="002D4F90" w:rsidRPr="00A36633">
        <w:rPr>
          <w:rFonts w:cs="Arial"/>
          <w:bCs/>
          <w:spacing w:val="-14"/>
          <w:w w:val="80"/>
          <w:kern w:val="48"/>
        </w:rPr>
        <w:t>τ.έ</w:t>
      </w:r>
      <w:proofErr w:type="spellEnd"/>
      <w:r w:rsidR="002D4F90" w:rsidRPr="00A36633">
        <w:rPr>
          <w:rFonts w:cs="Arial"/>
          <w:bCs/>
          <w:spacing w:val="-14"/>
          <w:w w:val="80"/>
          <w:kern w:val="48"/>
        </w:rPr>
        <w:t>.</w:t>
      </w:r>
      <w:r w:rsidR="00DB6806">
        <w:rPr>
          <w:rFonts w:cs="Arial"/>
          <w:bCs/>
          <w:spacing w:val="-14"/>
          <w:w w:val="80"/>
          <w:kern w:val="48"/>
        </w:rPr>
        <w:t>,</w:t>
      </w:r>
      <w:r w:rsidR="002D4F90" w:rsidRPr="00A36633">
        <w:rPr>
          <w:rFonts w:cs="Arial"/>
          <w:bCs/>
          <w:spacing w:val="-14"/>
          <w:w w:val="80"/>
          <w:kern w:val="48"/>
        </w:rPr>
        <w:t xml:space="preserve"> σε δημοσιογραφική διάσκεψη, αναφορικά με την έναρξη της τρίτης περιόδου λειτουργίας της θαλάσσιας επιβατικής σύνδεσης Κύπ</w:t>
      </w:r>
      <w:r w:rsidR="00932803">
        <w:rPr>
          <w:rFonts w:cs="Arial"/>
          <w:bCs/>
          <w:spacing w:val="-14"/>
          <w:w w:val="80"/>
          <w:kern w:val="48"/>
        </w:rPr>
        <w:t>ρου-Ελλάδος, που οργάνωσε το κ/</w:t>
      </w:r>
      <w:r w:rsidR="002D4F90" w:rsidRPr="00A36633">
        <w:rPr>
          <w:rFonts w:cs="Arial"/>
          <w:bCs/>
          <w:spacing w:val="-14"/>
          <w:w w:val="80"/>
          <w:kern w:val="48"/>
        </w:rPr>
        <w:t xml:space="preserve">Υφυπουργείο Ναυτιλίας, η Υφυπουργός Ναυτιλίας κα Μαρίνα </w:t>
      </w:r>
      <w:proofErr w:type="spellStart"/>
      <w:r w:rsidR="002D4F90" w:rsidRPr="00A36633">
        <w:rPr>
          <w:rFonts w:cs="Arial"/>
          <w:bCs/>
          <w:spacing w:val="-14"/>
          <w:w w:val="80"/>
          <w:kern w:val="48"/>
        </w:rPr>
        <w:t>Χατζημανώλη</w:t>
      </w:r>
      <w:proofErr w:type="spellEnd"/>
      <w:r w:rsidR="002D4F90" w:rsidRPr="00A36633">
        <w:rPr>
          <w:rFonts w:cs="Arial"/>
          <w:bCs/>
          <w:spacing w:val="-14"/>
          <w:w w:val="80"/>
          <w:kern w:val="48"/>
        </w:rPr>
        <w:t xml:space="preserve"> ανακοίνωσε ότι το σύστημα των κρατήσεων θα ανοίξει άμεσα (συγκεκριμένα από 17.4. </w:t>
      </w:r>
      <w:proofErr w:type="spellStart"/>
      <w:r w:rsidR="002D4F90" w:rsidRPr="00A36633">
        <w:rPr>
          <w:rFonts w:cs="Arial"/>
          <w:bCs/>
          <w:spacing w:val="-14"/>
          <w:w w:val="80"/>
          <w:kern w:val="48"/>
        </w:rPr>
        <w:t>τ.έ</w:t>
      </w:r>
      <w:proofErr w:type="spellEnd"/>
      <w:r w:rsidR="002D4F90" w:rsidRPr="00A36633">
        <w:rPr>
          <w:rFonts w:cs="Arial"/>
          <w:bCs/>
          <w:spacing w:val="-14"/>
          <w:w w:val="80"/>
          <w:kern w:val="48"/>
        </w:rPr>
        <w:t xml:space="preserve">.), έτσι ώστε το επιβατικό κοινό να μπορεί να εξυπηρετηθεί  άμεσα. Όπως ανέφερε στην ομιλία της  η κα Μαρίνα </w:t>
      </w:r>
      <w:proofErr w:type="spellStart"/>
      <w:r w:rsidR="002D4F90" w:rsidRPr="00A36633">
        <w:rPr>
          <w:rFonts w:cs="Arial"/>
          <w:bCs/>
          <w:spacing w:val="-14"/>
          <w:w w:val="80"/>
          <w:kern w:val="48"/>
        </w:rPr>
        <w:t>Χατζημανώλη</w:t>
      </w:r>
      <w:proofErr w:type="spellEnd"/>
      <w:r w:rsidR="00932803">
        <w:rPr>
          <w:rFonts w:cs="Arial"/>
          <w:bCs/>
          <w:spacing w:val="-14"/>
          <w:w w:val="80"/>
          <w:kern w:val="48"/>
        </w:rPr>
        <w:t>, το Υφυπουρ</w:t>
      </w:r>
      <w:r w:rsidR="002D4F90" w:rsidRPr="00A36633">
        <w:rPr>
          <w:rFonts w:cs="Arial"/>
          <w:bCs/>
          <w:spacing w:val="-14"/>
          <w:w w:val="80"/>
          <w:kern w:val="48"/>
        </w:rPr>
        <w:t>γ</w:t>
      </w:r>
      <w:r w:rsidR="00932803">
        <w:rPr>
          <w:rFonts w:cs="Arial"/>
          <w:bCs/>
          <w:spacing w:val="-14"/>
          <w:w w:val="80"/>
          <w:kern w:val="48"/>
        </w:rPr>
        <w:t>ε</w:t>
      </w:r>
      <w:r w:rsidR="002D4F90" w:rsidRPr="00A36633">
        <w:rPr>
          <w:rFonts w:cs="Arial"/>
          <w:bCs/>
          <w:spacing w:val="-14"/>
          <w:w w:val="80"/>
          <w:kern w:val="48"/>
        </w:rPr>
        <w:t>ίο Ναυτιλίας προσέδωσε και προσδίδει μεγάλη σημασία στην επαναλειτουργία της θαλάσσιας επιβατική σύνδεσης Κύπρου</w:t>
      </w:r>
      <w:r w:rsidR="00932803">
        <w:rPr>
          <w:rFonts w:cs="Arial"/>
          <w:bCs/>
          <w:spacing w:val="-14"/>
          <w:w w:val="80"/>
          <w:kern w:val="48"/>
        </w:rPr>
        <w:t xml:space="preserve"> - </w:t>
      </w:r>
      <w:r w:rsidR="002D4F90" w:rsidRPr="00A36633">
        <w:rPr>
          <w:rFonts w:cs="Arial"/>
          <w:bCs/>
          <w:spacing w:val="-14"/>
          <w:w w:val="80"/>
          <w:kern w:val="48"/>
        </w:rPr>
        <w:t>Ελλάδος</w:t>
      </w:r>
      <w:r w:rsidR="00932803">
        <w:rPr>
          <w:rFonts w:cs="Arial"/>
          <w:bCs/>
          <w:spacing w:val="-14"/>
          <w:w w:val="80"/>
          <w:kern w:val="48"/>
        </w:rPr>
        <w:t>,</w:t>
      </w:r>
      <w:r w:rsidR="002D4F90" w:rsidRPr="00A36633">
        <w:rPr>
          <w:rFonts w:cs="Arial"/>
          <w:bCs/>
          <w:spacing w:val="-14"/>
          <w:w w:val="80"/>
          <w:kern w:val="48"/>
        </w:rPr>
        <w:t xml:space="preserve"> το 2022. Κατά την περίοδο του 2023</w:t>
      </w:r>
      <w:r w:rsidR="00932803">
        <w:rPr>
          <w:rFonts w:cs="Arial"/>
          <w:bCs/>
          <w:spacing w:val="-14"/>
          <w:w w:val="80"/>
          <w:kern w:val="48"/>
        </w:rPr>
        <w:t>,</w:t>
      </w:r>
      <w:r w:rsidR="002D4F90" w:rsidRPr="00A36633">
        <w:rPr>
          <w:rFonts w:cs="Arial"/>
          <w:bCs/>
          <w:spacing w:val="-14"/>
          <w:w w:val="80"/>
          <w:kern w:val="48"/>
        </w:rPr>
        <w:t xml:space="preserve"> ταξίδεψαν 7.407 επιβάτες και 455 κατοικίδια ζώα, ενώ μεταφέρθηκαν 2.496 συνοδευόμενα οχήματα. Η Υφυπουργός τόνισε </w:t>
      </w:r>
      <w:r w:rsidR="00DB6806">
        <w:rPr>
          <w:rFonts w:cs="Arial"/>
          <w:bCs/>
          <w:spacing w:val="-14"/>
          <w:w w:val="80"/>
          <w:kern w:val="48"/>
        </w:rPr>
        <w:t>επίσης,</w:t>
      </w:r>
      <w:r w:rsidR="002D4F90" w:rsidRPr="00A36633">
        <w:rPr>
          <w:rFonts w:cs="Arial"/>
          <w:bCs/>
          <w:spacing w:val="-14"/>
          <w:w w:val="80"/>
          <w:kern w:val="48"/>
        </w:rPr>
        <w:t xml:space="preserve"> ότι οι αριθμοί δείχνουν ότι η λειτουργία της γραμμής Λεμεσού</w:t>
      </w:r>
      <w:r w:rsidR="00932803">
        <w:rPr>
          <w:rFonts w:cs="Arial"/>
          <w:bCs/>
          <w:spacing w:val="-14"/>
          <w:w w:val="80"/>
          <w:kern w:val="48"/>
        </w:rPr>
        <w:t xml:space="preserve"> </w:t>
      </w:r>
      <w:r w:rsidR="002D4F90" w:rsidRPr="00A36633">
        <w:rPr>
          <w:rFonts w:cs="Arial"/>
          <w:bCs/>
          <w:spacing w:val="-14"/>
          <w:w w:val="80"/>
          <w:kern w:val="48"/>
        </w:rPr>
        <w:t>-</w:t>
      </w:r>
      <w:r w:rsidR="00932803">
        <w:rPr>
          <w:rFonts w:cs="Arial"/>
          <w:bCs/>
          <w:spacing w:val="-14"/>
          <w:w w:val="80"/>
          <w:kern w:val="48"/>
        </w:rPr>
        <w:t xml:space="preserve"> </w:t>
      </w:r>
      <w:r w:rsidR="002D4F90" w:rsidRPr="00A36633">
        <w:rPr>
          <w:rFonts w:cs="Arial"/>
          <w:bCs/>
          <w:spacing w:val="-14"/>
          <w:w w:val="80"/>
          <w:kern w:val="48"/>
        </w:rPr>
        <w:t>Πειραιά δημιούργησε ένα τμήμα τουριστικής αγοράς για ταξιδιώτες, που επιθυμούν να ταξιδέψουν από Κύπρο προς Ελλάδα και ηπειρωτική Ευρώπη με ΙΧ οχήματα και δίκυκλα, προσφέροντας έναν εναλλακτικό τρόπο μεταφοράς, ο οποίος δεν υπήρχε εδώ και δυο δεκαετίες.</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2D4F90" w:rsidRPr="00A36633">
        <w:rPr>
          <w:rFonts w:cs="Arial"/>
          <w:bCs/>
          <w:spacing w:val="-14"/>
          <w:w w:val="80"/>
          <w:kern w:val="48"/>
        </w:rPr>
        <w:t xml:space="preserve"> Αναφερόμενη</w:t>
      </w:r>
      <w:r w:rsidR="00932803">
        <w:rPr>
          <w:rFonts w:cs="Arial"/>
          <w:bCs/>
          <w:spacing w:val="-14"/>
          <w:w w:val="80"/>
          <w:kern w:val="48"/>
        </w:rPr>
        <w:t>,</w:t>
      </w:r>
      <w:r w:rsidR="002D4F90" w:rsidRPr="00A36633">
        <w:rPr>
          <w:rFonts w:cs="Arial"/>
          <w:bCs/>
          <w:spacing w:val="-14"/>
          <w:w w:val="80"/>
          <w:kern w:val="48"/>
        </w:rPr>
        <w:t xml:space="preserve"> τέλος, στο κατά πόσον η γραμμή θα καταστεί βιώσιμη η κα </w:t>
      </w:r>
      <w:proofErr w:type="spellStart"/>
      <w:r w:rsidR="002D4F90" w:rsidRPr="00A36633">
        <w:rPr>
          <w:rFonts w:cs="Arial"/>
          <w:bCs/>
          <w:spacing w:val="-14"/>
          <w:w w:val="80"/>
          <w:kern w:val="48"/>
        </w:rPr>
        <w:t>Χατζημανώλη</w:t>
      </w:r>
      <w:proofErr w:type="spellEnd"/>
      <w:r w:rsidR="002D4F90" w:rsidRPr="00A36633">
        <w:rPr>
          <w:rFonts w:cs="Arial"/>
          <w:bCs/>
          <w:spacing w:val="-14"/>
          <w:w w:val="80"/>
          <w:kern w:val="48"/>
        </w:rPr>
        <w:t xml:space="preserve"> είπε ότι οι μέχρι τώρα εκτιμήσεις και τα στοιχεία σχετικά με τη βιωσιμότητα της γραμμής είναι θετικά και εκτίμησε ότι μετά τη λήξη της επιδοτούμενης υπηρεσίας θα υπάρξει ενδιαφέρον από τον ναυτιλιακό κόσμο, ώστε να συνεχιστεί απρόσκοπτα η σύνδεση Ελλάδος-Κύπρου και να καταστεί το έναυσμα για τη θαλάσσια σύνδεση της Κύπρου με την ηπειρωτική Ευρώπη. Σε κάθε περίπτωση το Υφυπουργείο Ναυτιλίας θα χαιρετήσει οποιαδήποτε προσπάθεια με στόχο να προστεθεί μόνιμα ένα θαλάσσιο επιβατικό δρομολόγιο της Κύπρου με την Ελλάδα ή και με άλλη γειτονική χώρα. Παρ όλα αυτά</w:t>
      </w:r>
      <w:r w:rsidR="00932803">
        <w:rPr>
          <w:rFonts w:cs="Arial"/>
          <w:bCs/>
          <w:spacing w:val="-14"/>
          <w:w w:val="80"/>
          <w:kern w:val="48"/>
        </w:rPr>
        <w:t>,</w:t>
      </w:r>
      <w:r w:rsidR="002D4F90" w:rsidRPr="00A36633">
        <w:rPr>
          <w:rFonts w:cs="Arial"/>
          <w:bCs/>
          <w:spacing w:val="-14"/>
          <w:w w:val="80"/>
          <w:kern w:val="48"/>
        </w:rPr>
        <w:t xml:space="preserve"> η μονιμότητα μιας ακτοπλοϊκής επιβατικής γραμμής είναι συνυφασμένη με τη ζήτηση και τους όρους αγοράς που τη διαμορφώνουν. </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21642C" w:rsidRDefault="001B253F"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bCs/>
          <w:color w:val="0070C0"/>
          <w:spacing w:val="-14"/>
          <w:w w:val="80"/>
          <w:kern w:val="48"/>
        </w:rPr>
        <w:t>2.2</w:t>
      </w:r>
      <w:r w:rsidR="004638DD" w:rsidRPr="00B77D7A">
        <w:rPr>
          <w:rFonts w:cs="Arial"/>
          <w:b/>
          <w:bCs/>
          <w:color w:val="0070C0"/>
          <w:spacing w:val="-14"/>
          <w:w w:val="80"/>
          <w:kern w:val="48"/>
        </w:rPr>
        <w:t xml:space="preserve"> </w:t>
      </w:r>
      <w:r w:rsidR="00932803">
        <w:rPr>
          <w:rFonts w:cs="Arial"/>
          <w:b/>
          <w:bCs/>
          <w:color w:val="0070C0"/>
          <w:spacing w:val="-14"/>
          <w:w w:val="80"/>
          <w:kern w:val="48"/>
        </w:rPr>
        <w:t xml:space="preserve"> Γαμήλιος τουρισμός στην Κύπρο -</w:t>
      </w:r>
      <w:r w:rsidR="004638DD" w:rsidRPr="00B77D7A">
        <w:rPr>
          <w:rFonts w:cs="Arial"/>
          <w:b/>
          <w:bCs/>
          <w:color w:val="0070C0"/>
          <w:spacing w:val="-14"/>
          <w:w w:val="80"/>
          <w:kern w:val="48"/>
        </w:rPr>
        <w:t xml:space="preserve"> Προβλέψεις το 2024 για την Αγία Νάπα</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638DD" w:rsidRPr="00A36633">
        <w:rPr>
          <w:rFonts w:cs="Arial"/>
          <w:bCs/>
          <w:spacing w:val="-14"/>
          <w:w w:val="80"/>
          <w:kern w:val="48"/>
        </w:rPr>
        <w:t>Η Κύπρος, χώρα</w:t>
      </w:r>
      <w:r w:rsidR="00932803">
        <w:rPr>
          <w:rFonts w:cs="Arial"/>
          <w:bCs/>
          <w:spacing w:val="-14"/>
          <w:w w:val="80"/>
          <w:kern w:val="48"/>
        </w:rPr>
        <w:t>,</w:t>
      </w:r>
      <w:r w:rsidR="004638DD" w:rsidRPr="00A36633">
        <w:rPr>
          <w:rFonts w:cs="Arial"/>
          <w:bCs/>
          <w:spacing w:val="-14"/>
          <w:w w:val="80"/>
          <w:kern w:val="48"/>
        </w:rPr>
        <w:t xml:space="preserve"> η οποία βασίζεται στην τουριστική βιομηχανία καταβάλλει προσπάθεια για το </w:t>
      </w:r>
      <w:proofErr w:type="spellStart"/>
      <w:r w:rsidR="004638DD" w:rsidRPr="00A36633">
        <w:rPr>
          <w:rFonts w:cs="Arial"/>
          <w:bCs/>
          <w:spacing w:val="-14"/>
          <w:w w:val="80"/>
          <w:kern w:val="48"/>
        </w:rPr>
        <w:t>rebranding</w:t>
      </w:r>
      <w:proofErr w:type="spellEnd"/>
      <w:r w:rsidR="004638DD" w:rsidRPr="00A36633">
        <w:rPr>
          <w:rFonts w:cs="Arial"/>
          <w:bCs/>
          <w:spacing w:val="-14"/>
          <w:w w:val="80"/>
          <w:kern w:val="48"/>
        </w:rPr>
        <w:t xml:space="preserve"> της νήσου και την ανάπτυξη εναλλακτικών μορφών τουρισμού, όπως του γαμήλιου τουρισμού. Παρά το γεγονός</w:t>
      </w:r>
      <w:r w:rsidR="00932803">
        <w:rPr>
          <w:rFonts w:cs="Arial"/>
          <w:bCs/>
          <w:spacing w:val="-14"/>
          <w:w w:val="80"/>
          <w:kern w:val="48"/>
        </w:rPr>
        <w:t>,</w:t>
      </w:r>
      <w:r w:rsidR="004638DD" w:rsidRPr="00A36633">
        <w:rPr>
          <w:rFonts w:cs="Arial"/>
          <w:bCs/>
          <w:spacing w:val="-14"/>
          <w:w w:val="80"/>
          <w:kern w:val="48"/>
        </w:rPr>
        <w:t xml:space="preserve"> ότι ο γαμήλιος τουρισμός της Αγίας Νάπας δέχθηκε πλήγματα από διεθνείς εξελίξεις</w:t>
      </w:r>
      <w:r w:rsidR="00932803">
        <w:rPr>
          <w:rFonts w:cs="Arial"/>
          <w:bCs/>
          <w:spacing w:val="-14"/>
          <w:w w:val="80"/>
          <w:kern w:val="48"/>
        </w:rPr>
        <w:t>,</w:t>
      </w:r>
      <w:r w:rsidR="004638DD" w:rsidRPr="00A36633">
        <w:rPr>
          <w:rFonts w:cs="Arial"/>
          <w:bCs/>
          <w:spacing w:val="-14"/>
          <w:w w:val="80"/>
          <w:kern w:val="48"/>
        </w:rPr>
        <w:t xml:space="preserve"> όπως τις συρράξεις σε Ουκρανία και Γάζα και από την έξοδο του Ηνωμένου Βασιλείου από </w:t>
      </w:r>
      <w:r w:rsidR="004638DD" w:rsidRPr="00A36633">
        <w:rPr>
          <w:rFonts w:cs="Arial"/>
          <w:bCs/>
          <w:spacing w:val="-14"/>
          <w:w w:val="80"/>
          <w:kern w:val="48"/>
        </w:rPr>
        <w:lastRenderedPageBreak/>
        <w:t>την ΕΕ αυτή η μορφή τουρισμού εξακολουθεί να αποτελεί βασική πηγή εσόδων. Μάλιστα</w:t>
      </w:r>
      <w:r w:rsidR="00932803">
        <w:rPr>
          <w:rFonts w:cs="Arial"/>
          <w:bCs/>
          <w:spacing w:val="-14"/>
          <w:w w:val="80"/>
          <w:kern w:val="48"/>
        </w:rPr>
        <w:t>,</w:t>
      </w:r>
      <w:r w:rsidR="004638DD" w:rsidRPr="00A36633">
        <w:rPr>
          <w:rFonts w:cs="Arial"/>
          <w:bCs/>
          <w:spacing w:val="-14"/>
          <w:w w:val="80"/>
          <w:kern w:val="48"/>
        </w:rPr>
        <w:t xml:space="preserve"> οι πολιτικοί γάμοι στο εν λόγω τουριστικό θέρετρο αναμένεται να ανέλθουν</w:t>
      </w:r>
      <w:r w:rsidR="00932803">
        <w:rPr>
          <w:rFonts w:cs="Arial"/>
          <w:bCs/>
          <w:spacing w:val="-14"/>
          <w:w w:val="80"/>
          <w:kern w:val="48"/>
        </w:rPr>
        <w:t>,</w:t>
      </w:r>
      <w:r w:rsidR="004638DD" w:rsidRPr="00A36633">
        <w:rPr>
          <w:rFonts w:cs="Arial"/>
          <w:bCs/>
          <w:spacing w:val="-14"/>
          <w:w w:val="80"/>
          <w:kern w:val="48"/>
        </w:rPr>
        <w:t xml:space="preserve"> το 2024</w:t>
      </w:r>
      <w:r w:rsidR="00932803">
        <w:rPr>
          <w:rFonts w:cs="Arial"/>
          <w:bCs/>
          <w:spacing w:val="-14"/>
          <w:w w:val="80"/>
          <w:kern w:val="48"/>
        </w:rPr>
        <w:t>,</w:t>
      </w:r>
      <w:r w:rsidR="004638DD" w:rsidRPr="00A36633">
        <w:rPr>
          <w:rFonts w:cs="Arial"/>
          <w:bCs/>
          <w:spacing w:val="-14"/>
          <w:w w:val="80"/>
          <w:kern w:val="48"/>
        </w:rPr>
        <w:t xml:space="preserve"> στους προ πανδημίας αριθμούς.</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638DD" w:rsidRPr="00A36633">
        <w:rPr>
          <w:rFonts w:cs="Arial"/>
          <w:bCs/>
          <w:spacing w:val="-14"/>
          <w:w w:val="80"/>
          <w:kern w:val="48"/>
        </w:rPr>
        <w:t xml:space="preserve"> Οι τοπικές αρχές της Αγίας Νάπας επενδύουν πολλά στον συγκεκριμένο τομέα, καθορίζοντας, μεταξύ άλλων ενεργειών, συγκεκριμένες ειδυλλιακές παραλίες για την τέλεση των γάμων. Σύμφωνα, λοιπόν, με τα</w:t>
      </w:r>
      <w:r w:rsidR="005215BF">
        <w:rPr>
          <w:rFonts w:cs="Arial"/>
          <w:bCs/>
          <w:spacing w:val="-14"/>
          <w:w w:val="80"/>
          <w:kern w:val="48"/>
        </w:rPr>
        <w:t>,</w:t>
      </w:r>
      <w:r w:rsidR="004638DD" w:rsidRPr="00A36633">
        <w:rPr>
          <w:rFonts w:cs="Arial"/>
          <w:bCs/>
          <w:spacing w:val="-14"/>
          <w:w w:val="80"/>
          <w:kern w:val="48"/>
        </w:rPr>
        <w:t xml:space="preserve"> μέχρι τα τέλη Ιανουαρίου </w:t>
      </w:r>
      <w:proofErr w:type="spellStart"/>
      <w:r w:rsidR="004638DD" w:rsidRPr="00A36633">
        <w:rPr>
          <w:rFonts w:cs="Arial"/>
          <w:bCs/>
          <w:spacing w:val="-14"/>
          <w:w w:val="80"/>
          <w:kern w:val="48"/>
        </w:rPr>
        <w:t>τ.έ</w:t>
      </w:r>
      <w:proofErr w:type="spellEnd"/>
      <w:r w:rsidR="004638DD" w:rsidRPr="00A36633">
        <w:rPr>
          <w:rFonts w:cs="Arial"/>
          <w:bCs/>
          <w:spacing w:val="-14"/>
          <w:w w:val="80"/>
          <w:kern w:val="48"/>
        </w:rPr>
        <w:t>.</w:t>
      </w:r>
      <w:r w:rsidR="005215BF">
        <w:rPr>
          <w:rFonts w:cs="Arial"/>
          <w:bCs/>
          <w:spacing w:val="-14"/>
          <w:w w:val="80"/>
          <w:kern w:val="48"/>
        </w:rPr>
        <w:t>,</w:t>
      </w:r>
      <w:r w:rsidR="004638DD" w:rsidRPr="00A36633">
        <w:rPr>
          <w:rFonts w:cs="Arial"/>
          <w:bCs/>
          <w:spacing w:val="-14"/>
          <w:w w:val="80"/>
          <w:kern w:val="48"/>
        </w:rPr>
        <w:t xml:space="preserve"> στοιχεία έχουν</w:t>
      </w:r>
      <w:r w:rsidR="005215BF">
        <w:rPr>
          <w:rFonts w:cs="Arial"/>
          <w:bCs/>
          <w:spacing w:val="-14"/>
          <w:w w:val="80"/>
          <w:kern w:val="48"/>
        </w:rPr>
        <w:t>,</w:t>
      </w:r>
      <w:r w:rsidR="004638DD" w:rsidRPr="00A36633">
        <w:rPr>
          <w:rFonts w:cs="Arial"/>
          <w:bCs/>
          <w:spacing w:val="-14"/>
          <w:w w:val="80"/>
          <w:kern w:val="48"/>
        </w:rPr>
        <w:t xml:space="preserve"> ήδη</w:t>
      </w:r>
      <w:r w:rsidR="005215BF">
        <w:rPr>
          <w:rFonts w:cs="Arial"/>
          <w:bCs/>
          <w:spacing w:val="-14"/>
          <w:w w:val="80"/>
          <w:kern w:val="48"/>
        </w:rPr>
        <w:t>,</w:t>
      </w:r>
      <w:r w:rsidR="004638DD" w:rsidRPr="00A36633">
        <w:rPr>
          <w:rFonts w:cs="Arial"/>
          <w:bCs/>
          <w:spacing w:val="-14"/>
          <w:w w:val="80"/>
          <w:kern w:val="48"/>
        </w:rPr>
        <w:t xml:space="preserve"> γίνει για φέτος</w:t>
      </w:r>
      <w:r w:rsidR="005215BF">
        <w:rPr>
          <w:rFonts w:cs="Arial"/>
          <w:bCs/>
          <w:spacing w:val="-14"/>
          <w:w w:val="80"/>
          <w:kern w:val="48"/>
        </w:rPr>
        <w:t>,</w:t>
      </w:r>
      <w:r w:rsidR="004638DD" w:rsidRPr="00A36633">
        <w:rPr>
          <w:rFonts w:cs="Arial"/>
          <w:bCs/>
          <w:spacing w:val="-14"/>
          <w:w w:val="80"/>
          <w:kern w:val="48"/>
        </w:rPr>
        <w:t xml:space="preserve"> γύρω στις 600 </w:t>
      </w:r>
      <w:proofErr w:type="spellStart"/>
      <w:r w:rsidR="004638DD" w:rsidRPr="00A36633">
        <w:rPr>
          <w:rFonts w:cs="Arial"/>
          <w:bCs/>
          <w:spacing w:val="-14"/>
          <w:w w:val="80"/>
          <w:kern w:val="48"/>
        </w:rPr>
        <w:t>προκρατήσεις</w:t>
      </w:r>
      <w:proofErr w:type="spellEnd"/>
      <w:r w:rsidR="005215BF">
        <w:rPr>
          <w:rFonts w:cs="Arial"/>
          <w:bCs/>
          <w:spacing w:val="-14"/>
          <w:w w:val="80"/>
          <w:kern w:val="48"/>
        </w:rPr>
        <w:t>,</w:t>
      </w:r>
      <w:r w:rsidR="004638DD" w:rsidRPr="00A36633">
        <w:rPr>
          <w:rFonts w:cs="Arial"/>
          <w:bCs/>
          <w:spacing w:val="-14"/>
          <w:w w:val="80"/>
          <w:kern w:val="48"/>
        </w:rPr>
        <w:t xml:space="preserve"> για τέλεση πολιτικών γάμων στην Αγία Νάπα. Ουσιαστικά</w:t>
      </w:r>
      <w:r w:rsidR="005215BF">
        <w:rPr>
          <w:rFonts w:cs="Arial"/>
          <w:bCs/>
          <w:spacing w:val="-14"/>
          <w:w w:val="80"/>
          <w:kern w:val="48"/>
        </w:rPr>
        <w:t>,</w:t>
      </w:r>
      <w:r w:rsidR="004638DD" w:rsidRPr="00A36633">
        <w:rPr>
          <w:rFonts w:cs="Arial"/>
          <w:bCs/>
          <w:spacing w:val="-14"/>
          <w:w w:val="80"/>
          <w:kern w:val="48"/>
        </w:rPr>
        <w:t xml:space="preserve"> το 2022, πρώτη χρονιά μετά την πανδημία, έγινε επανεκκίνηση στον γαμήλιο τουρισμό. Το 2020</w:t>
      </w:r>
      <w:r w:rsidR="005215BF">
        <w:rPr>
          <w:rFonts w:cs="Arial"/>
          <w:bCs/>
          <w:spacing w:val="-14"/>
          <w:w w:val="80"/>
          <w:kern w:val="48"/>
        </w:rPr>
        <w:t>,</w:t>
      </w:r>
      <w:r w:rsidR="004638DD" w:rsidRPr="00A36633">
        <w:rPr>
          <w:rFonts w:cs="Arial"/>
          <w:bCs/>
          <w:spacing w:val="-14"/>
          <w:w w:val="80"/>
          <w:kern w:val="48"/>
        </w:rPr>
        <w:t xml:space="preserve"> οι γάμοι ανήλθαν σε 140, το 2021 σε 360, ενώ</w:t>
      </w:r>
      <w:r w:rsidR="005215BF">
        <w:rPr>
          <w:rFonts w:cs="Arial"/>
          <w:bCs/>
          <w:spacing w:val="-14"/>
          <w:w w:val="80"/>
          <w:kern w:val="48"/>
        </w:rPr>
        <w:t>,</w:t>
      </w:r>
      <w:r w:rsidR="004638DD" w:rsidRPr="00A36633">
        <w:rPr>
          <w:rFonts w:cs="Arial"/>
          <w:bCs/>
          <w:spacing w:val="-14"/>
          <w:w w:val="80"/>
          <w:kern w:val="48"/>
        </w:rPr>
        <w:t xml:space="preserve"> το 2022</w:t>
      </w:r>
      <w:r w:rsidR="005215BF">
        <w:rPr>
          <w:rFonts w:cs="Arial"/>
          <w:bCs/>
          <w:spacing w:val="-14"/>
          <w:w w:val="80"/>
          <w:kern w:val="48"/>
        </w:rPr>
        <w:t>,</w:t>
      </w:r>
      <w:r w:rsidR="004638DD" w:rsidRPr="00A36633">
        <w:rPr>
          <w:rFonts w:cs="Arial"/>
          <w:bCs/>
          <w:spacing w:val="-14"/>
          <w:w w:val="80"/>
          <w:kern w:val="48"/>
        </w:rPr>
        <w:t xml:space="preserve"> τελέστηκαν</w:t>
      </w:r>
      <w:r w:rsidR="005215BF">
        <w:rPr>
          <w:rFonts w:cs="Arial"/>
          <w:bCs/>
          <w:spacing w:val="-14"/>
          <w:w w:val="80"/>
          <w:kern w:val="48"/>
        </w:rPr>
        <w:t>,</w:t>
      </w:r>
      <w:r w:rsidR="004638DD" w:rsidRPr="00A36633">
        <w:rPr>
          <w:rFonts w:cs="Arial"/>
          <w:bCs/>
          <w:spacing w:val="-14"/>
          <w:w w:val="80"/>
          <w:kern w:val="48"/>
        </w:rPr>
        <w:t xml:space="preserve"> συνολικά</w:t>
      </w:r>
      <w:r w:rsidR="005215BF">
        <w:rPr>
          <w:rFonts w:cs="Arial"/>
          <w:bCs/>
          <w:spacing w:val="-14"/>
          <w:w w:val="80"/>
          <w:kern w:val="48"/>
        </w:rPr>
        <w:t>,</w:t>
      </w:r>
      <w:r w:rsidR="004638DD" w:rsidRPr="00A36633">
        <w:rPr>
          <w:rFonts w:cs="Arial"/>
          <w:bCs/>
          <w:spacing w:val="-14"/>
          <w:w w:val="80"/>
          <w:kern w:val="48"/>
        </w:rPr>
        <w:t xml:space="preserve"> 885 πολιτικοί γάμοι. Ειδικότερα</w:t>
      </w:r>
      <w:r w:rsidR="005215BF">
        <w:rPr>
          <w:rFonts w:cs="Arial"/>
          <w:bCs/>
          <w:spacing w:val="-14"/>
          <w:w w:val="80"/>
          <w:kern w:val="48"/>
        </w:rPr>
        <w:t>,</w:t>
      </w:r>
      <w:r w:rsidR="004638DD" w:rsidRPr="00A36633">
        <w:rPr>
          <w:rFonts w:cs="Arial"/>
          <w:bCs/>
          <w:spacing w:val="-14"/>
          <w:w w:val="80"/>
          <w:kern w:val="48"/>
        </w:rPr>
        <w:t xml:space="preserve"> για το 2023</w:t>
      </w:r>
      <w:r w:rsidR="005215BF">
        <w:rPr>
          <w:rFonts w:cs="Arial"/>
          <w:bCs/>
          <w:spacing w:val="-14"/>
          <w:w w:val="80"/>
          <w:kern w:val="48"/>
        </w:rPr>
        <w:t>,</w:t>
      </w:r>
      <w:r w:rsidR="004638DD" w:rsidRPr="00A36633">
        <w:rPr>
          <w:rFonts w:cs="Arial"/>
          <w:bCs/>
          <w:spacing w:val="-14"/>
          <w:w w:val="80"/>
          <w:kern w:val="48"/>
        </w:rPr>
        <w:t xml:space="preserve"> η εκτίμηση ήταν ότι ο αριθμός των γάμων θα άγγιζε τα επίπεδα</w:t>
      </w:r>
      <w:r w:rsidR="00DB6806">
        <w:rPr>
          <w:rFonts w:cs="Arial"/>
          <w:bCs/>
          <w:spacing w:val="-14"/>
          <w:w w:val="80"/>
          <w:kern w:val="48"/>
        </w:rPr>
        <w:t>,</w:t>
      </w:r>
      <w:r w:rsidR="004638DD" w:rsidRPr="00A36633">
        <w:rPr>
          <w:rFonts w:cs="Arial"/>
          <w:bCs/>
          <w:spacing w:val="-14"/>
          <w:w w:val="80"/>
          <w:kern w:val="48"/>
        </w:rPr>
        <w:t xml:space="preserve"> προ </w:t>
      </w:r>
      <w:proofErr w:type="spellStart"/>
      <w:r w:rsidR="004638DD" w:rsidRPr="00A36633">
        <w:rPr>
          <w:rFonts w:cs="Arial"/>
          <w:bCs/>
          <w:spacing w:val="-14"/>
          <w:w w:val="80"/>
          <w:kern w:val="48"/>
        </w:rPr>
        <w:t>κορωνοϊού</w:t>
      </w:r>
      <w:proofErr w:type="spellEnd"/>
      <w:r w:rsidR="004638DD" w:rsidRPr="00A36633">
        <w:rPr>
          <w:rFonts w:cs="Arial"/>
          <w:bCs/>
          <w:spacing w:val="-14"/>
          <w:w w:val="80"/>
          <w:kern w:val="48"/>
        </w:rPr>
        <w:t>, εάν δεν συνεχιζόταν η εισβολή της Ρωσίας στην Ουκρανία. Τελικά</w:t>
      </w:r>
      <w:r w:rsidR="005215BF">
        <w:rPr>
          <w:rFonts w:cs="Arial"/>
          <w:bCs/>
          <w:spacing w:val="-14"/>
          <w:w w:val="80"/>
          <w:kern w:val="48"/>
        </w:rPr>
        <w:t>,</w:t>
      </w:r>
      <w:r w:rsidR="004638DD" w:rsidRPr="00A36633">
        <w:rPr>
          <w:rFonts w:cs="Arial"/>
          <w:bCs/>
          <w:spacing w:val="-14"/>
          <w:w w:val="80"/>
          <w:kern w:val="48"/>
        </w:rPr>
        <w:t xml:space="preserve"> το 2023</w:t>
      </w:r>
      <w:r w:rsidR="005215BF">
        <w:rPr>
          <w:rFonts w:cs="Arial"/>
          <w:bCs/>
          <w:spacing w:val="-14"/>
          <w:w w:val="80"/>
          <w:kern w:val="48"/>
        </w:rPr>
        <w:t>,</w:t>
      </w:r>
      <w:r w:rsidR="004638DD" w:rsidRPr="00A36633">
        <w:rPr>
          <w:rFonts w:cs="Arial"/>
          <w:bCs/>
          <w:spacing w:val="-14"/>
          <w:w w:val="80"/>
          <w:kern w:val="48"/>
        </w:rPr>
        <w:t xml:space="preserve"> οι γάμοι αποκλειστικά με ζευγάρια από τις δύο εμπόλεμες χώρες δεν ξεπέρασαν συνολικά τους 80. Μείωση παρατηρήθηκε και στους γάμους</w:t>
      </w:r>
      <w:r w:rsidR="005215BF">
        <w:rPr>
          <w:rFonts w:cs="Arial"/>
          <w:bCs/>
          <w:spacing w:val="-14"/>
          <w:w w:val="80"/>
          <w:kern w:val="48"/>
        </w:rPr>
        <w:t>,</w:t>
      </w:r>
      <w:r w:rsidR="004638DD" w:rsidRPr="00A36633">
        <w:rPr>
          <w:rFonts w:cs="Arial"/>
          <w:bCs/>
          <w:spacing w:val="-14"/>
          <w:w w:val="80"/>
          <w:kern w:val="48"/>
        </w:rPr>
        <w:t xml:space="preserve"> με ζευγάρια από το γειτονικό Ισραήλ, εξαιτίας του πολέμου. Η πλειοψηφία των γάμων προήλθε από το Ηνωμένο Βασίλειο. Πολλά</w:t>
      </w:r>
      <w:r w:rsidR="005215BF">
        <w:rPr>
          <w:rFonts w:cs="Arial"/>
          <w:bCs/>
          <w:spacing w:val="-14"/>
          <w:w w:val="80"/>
          <w:kern w:val="48"/>
        </w:rPr>
        <w:t>,</w:t>
      </w:r>
      <w:r w:rsidR="004638DD" w:rsidRPr="00A36633">
        <w:rPr>
          <w:rFonts w:cs="Arial"/>
          <w:bCs/>
          <w:spacing w:val="-14"/>
          <w:w w:val="80"/>
          <w:kern w:val="48"/>
        </w:rPr>
        <w:t xml:space="preserve"> μάλιστα</w:t>
      </w:r>
      <w:r w:rsidR="005215BF">
        <w:rPr>
          <w:rFonts w:cs="Arial"/>
          <w:bCs/>
          <w:spacing w:val="-14"/>
          <w:w w:val="80"/>
          <w:kern w:val="48"/>
        </w:rPr>
        <w:t>,</w:t>
      </w:r>
      <w:r w:rsidR="004638DD" w:rsidRPr="00A36633">
        <w:rPr>
          <w:rFonts w:cs="Arial"/>
          <w:bCs/>
          <w:spacing w:val="-14"/>
          <w:w w:val="80"/>
          <w:kern w:val="48"/>
        </w:rPr>
        <w:t xml:space="preserve"> ζευγάρια συνδυάζουν γάμο και μήνα του μέλιτος στην Αγία Νάπα. Ακόμα</w:t>
      </w:r>
      <w:r w:rsidR="005215BF">
        <w:rPr>
          <w:rFonts w:cs="Arial"/>
          <w:bCs/>
          <w:spacing w:val="-14"/>
          <w:w w:val="80"/>
          <w:kern w:val="48"/>
        </w:rPr>
        <w:t>,</w:t>
      </w:r>
      <w:r w:rsidR="004638DD" w:rsidRPr="00A36633">
        <w:rPr>
          <w:rFonts w:cs="Arial"/>
          <w:bCs/>
          <w:spacing w:val="-14"/>
          <w:w w:val="80"/>
          <w:kern w:val="48"/>
        </w:rPr>
        <w:t xml:space="preserve"> </w:t>
      </w:r>
      <w:r w:rsidR="005215BF">
        <w:rPr>
          <w:rFonts w:cs="Arial"/>
          <w:bCs/>
          <w:spacing w:val="-14"/>
          <w:w w:val="80"/>
          <w:kern w:val="48"/>
        </w:rPr>
        <w:t>όμως,</w:t>
      </w:r>
      <w:r w:rsidR="004638DD" w:rsidRPr="00A36633">
        <w:rPr>
          <w:rFonts w:cs="Arial"/>
          <w:bCs/>
          <w:spacing w:val="-14"/>
          <w:w w:val="80"/>
          <w:kern w:val="48"/>
        </w:rPr>
        <w:t xml:space="preserve"> και από το Ηνωμένο Βασίλειο παρατηρήθηκε μείωση στον γαμήλιο τουρισμό</w:t>
      </w:r>
      <w:r w:rsidR="005215BF">
        <w:rPr>
          <w:rFonts w:cs="Arial"/>
          <w:bCs/>
          <w:spacing w:val="-14"/>
          <w:w w:val="80"/>
          <w:kern w:val="48"/>
        </w:rPr>
        <w:t>,</w:t>
      </w:r>
      <w:r w:rsidR="004638DD" w:rsidRPr="00A36633">
        <w:rPr>
          <w:rFonts w:cs="Arial"/>
          <w:bCs/>
          <w:spacing w:val="-14"/>
          <w:w w:val="80"/>
          <w:kern w:val="48"/>
        </w:rPr>
        <w:t xml:space="preserve"> το 2023, εξαιτίας της εξόδου της χώρας από την Ε.Ε. Αυτός θεωρείται και ο κυριότερος λόγος</w:t>
      </w:r>
      <w:r w:rsidR="00DB6806">
        <w:rPr>
          <w:rFonts w:cs="Arial"/>
          <w:bCs/>
          <w:spacing w:val="-14"/>
          <w:w w:val="80"/>
          <w:kern w:val="48"/>
        </w:rPr>
        <w:t>,</w:t>
      </w:r>
      <w:r w:rsidR="004638DD" w:rsidRPr="00A36633">
        <w:rPr>
          <w:rFonts w:cs="Arial"/>
          <w:bCs/>
          <w:spacing w:val="-14"/>
          <w:w w:val="80"/>
          <w:kern w:val="48"/>
        </w:rPr>
        <w:t xml:space="preserve"> για τον οποίο</w:t>
      </w:r>
      <w:r w:rsidR="005215BF">
        <w:rPr>
          <w:rFonts w:cs="Arial"/>
          <w:bCs/>
          <w:spacing w:val="-14"/>
          <w:w w:val="80"/>
          <w:kern w:val="48"/>
        </w:rPr>
        <w:t>,</w:t>
      </w:r>
      <w:r w:rsidR="004638DD" w:rsidRPr="00A36633">
        <w:rPr>
          <w:rFonts w:cs="Arial"/>
          <w:bCs/>
          <w:spacing w:val="-14"/>
          <w:w w:val="80"/>
          <w:kern w:val="48"/>
        </w:rPr>
        <w:t xml:space="preserve"> την περ</w:t>
      </w:r>
      <w:r w:rsidR="005215BF">
        <w:rPr>
          <w:rFonts w:cs="Arial"/>
          <w:bCs/>
          <w:spacing w:val="-14"/>
          <w:w w:val="80"/>
          <w:kern w:val="48"/>
        </w:rPr>
        <w:t>υ</w:t>
      </w:r>
      <w:r w:rsidR="004638DD" w:rsidRPr="00A36633">
        <w:rPr>
          <w:rFonts w:cs="Arial"/>
          <w:bCs/>
          <w:spacing w:val="-14"/>
          <w:w w:val="80"/>
          <w:kern w:val="48"/>
        </w:rPr>
        <w:t>σινή χρονιά</w:t>
      </w:r>
      <w:r w:rsidR="005215BF">
        <w:rPr>
          <w:rFonts w:cs="Arial"/>
          <w:bCs/>
          <w:spacing w:val="-14"/>
          <w:w w:val="80"/>
          <w:kern w:val="48"/>
        </w:rPr>
        <w:t>,</w:t>
      </w:r>
      <w:r w:rsidR="004638DD" w:rsidRPr="00A36633">
        <w:rPr>
          <w:rFonts w:cs="Arial"/>
          <w:bCs/>
          <w:spacing w:val="-14"/>
          <w:w w:val="80"/>
          <w:kern w:val="48"/>
        </w:rPr>
        <w:t xml:space="preserve"> ο συνολικός αριθμός των πολιτικών γάμων μειώθηκε στους 650. Πάντως, έχουν ξεκινήσει να αναδύονται και να εκφράζουν ενδιαφέρον για πολιτικούς γάμους και άλλες αγορές, όπως η Λιθουανία και η Εσθονία.</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638DD" w:rsidRPr="00A36633">
        <w:rPr>
          <w:rFonts w:cs="Arial"/>
          <w:bCs/>
          <w:spacing w:val="-14"/>
          <w:w w:val="80"/>
          <w:kern w:val="48"/>
        </w:rPr>
        <w:t>Συνολικά, ο γαμήλιος τουρισμός είναι ιδιαίτερα κερδοφόρος για τον Δήμο Αγίας Νάπας, ο οποίος παρέχει ξεχωριστές υπηρεσίες και σημαντικά σημεία αναφοράς για την τέλεση γάμων, όπως παραλίες, πολιτιστικά σημεία, πάρκα κ.α.</w:t>
      </w:r>
      <w:r w:rsidR="005215BF">
        <w:rPr>
          <w:rFonts w:cs="Arial"/>
          <w:bCs/>
          <w:spacing w:val="-14"/>
          <w:w w:val="80"/>
          <w:kern w:val="48"/>
        </w:rPr>
        <w:t>.</w:t>
      </w:r>
      <w:r w:rsidR="004638DD" w:rsidRPr="00A36633">
        <w:rPr>
          <w:rFonts w:cs="Arial"/>
          <w:bCs/>
          <w:spacing w:val="-14"/>
          <w:w w:val="80"/>
          <w:kern w:val="48"/>
        </w:rPr>
        <w:t xml:space="preserve"> Ο Δήμος Αγίας Νάπας έχει καθορίσει συγκεκριμένες παραλίες για την τέλεση πολιτικών γάμων, με τις πιο δημοφιλείς την «Άμμο του Καμπούρη», την Αγία Θέκλα και το «Βότσαλο». Το κόστος ενός πολιτικού γάμου ανέρχεται σε 280 Ευρώ, ενώ υπάρχει έξτρα χρέωση, που ξεκινά από 200 Ευρώ</w:t>
      </w:r>
      <w:r w:rsidR="005215BF">
        <w:rPr>
          <w:rFonts w:cs="Arial"/>
          <w:bCs/>
          <w:spacing w:val="-14"/>
          <w:w w:val="80"/>
          <w:kern w:val="48"/>
        </w:rPr>
        <w:t>,</w:t>
      </w:r>
      <w:r w:rsidR="004638DD" w:rsidRPr="00A36633">
        <w:rPr>
          <w:rFonts w:cs="Arial"/>
          <w:bCs/>
          <w:spacing w:val="-14"/>
          <w:w w:val="80"/>
          <w:kern w:val="48"/>
        </w:rPr>
        <w:t xml:space="preserve"> ανάλογα με τον χώρο της τελετής (ξενοδοχείο, παραλία κτλ).  Δημοφιλείς τόποι τέλεσης γάμων είναι επίσης ο </w:t>
      </w:r>
      <w:proofErr w:type="spellStart"/>
      <w:r w:rsidR="004638DD" w:rsidRPr="00A36633">
        <w:rPr>
          <w:rFonts w:cs="Arial"/>
          <w:bCs/>
          <w:spacing w:val="-14"/>
          <w:w w:val="80"/>
          <w:kern w:val="48"/>
        </w:rPr>
        <w:t>Πρωταράς</w:t>
      </w:r>
      <w:proofErr w:type="spellEnd"/>
      <w:r w:rsidR="004638DD" w:rsidRPr="00A36633">
        <w:rPr>
          <w:rFonts w:cs="Arial"/>
          <w:bCs/>
          <w:spacing w:val="-14"/>
          <w:w w:val="80"/>
          <w:kern w:val="48"/>
        </w:rPr>
        <w:t xml:space="preserve"> και η Πάφος.</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638DD" w:rsidRPr="00A36633">
        <w:rPr>
          <w:rFonts w:cs="Arial"/>
          <w:bCs/>
          <w:spacing w:val="-14"/>
          <w:w w:val="80"/>
          <w:kern w:val="48"/>
        </w:rPr>
        <w:t>Τα ζευγάρια από το Η.Β., που αποτελούν την πλειοψηφία του γαμήλιου τουρισμού, συνοδεύονται, ως επί το πλείστον, από αριθμό καλεσμένων, από το οικογενειακό και φιλικό τους περιβάλλον. Αυτό συνεπάγεται σημαντικό αριθμό διανυκτερεύσεων σε καταλύματα της περιοχής και έσοδα από τις μετακινήσεις τους. Ωφελούνται</w:t>
      </w:r>
      <w:r w:rsidR="005215BF">
        <w:rPr>
          <w:rFonts w:cs="Arial"/>
          <w:bCs/>
          <w:spacing w:val="-14"/>
          <w:w w:val="80"/>
          <w:kern w:val="48"/>
        </w:rPr>
        <w:t>,</w:t>
      </w:r>
      <w:r w:rsidR="004638DD" w:rsidRPr="00A36633">
        <w:rPr>
          <w:rFonts w:cs="Arial"/>
          <w:bCs/>
          <w:spacing w:val="-14"/>
          <w:w w:val="80"/>
          <w:kern w:val="48"/>
        </w:rPr>
        <w:t xml:space="preserve"> όχι μόνον</w:t>
      </w:r>
      <w:r w:rsidR="005215BF">
        <w:rPr>
          <w:rFonts w:cs="Arial"/>
          <w:bCs/>
          <w:spacing w:val="-14"/>
          <w:w w:val="80"/>
          <w:kern w:val="48"/>
        </w:rPr>
        <w:t>,</w:t>
      </w:r>
      <w:r w:rsidR="004638DD" w:rsidRPr="00A36633">
        <w:rPr>
          <w:rFonts w:cs="Arial"/>
          <w:bCs/>
          <w:spacing w:val="-14"/>
          <w:w w:val="80"/>
          <w:kern w:val="48"/>
        </w:rPr>
        <w:t xml:space="preserve"> επιχειρήσεις </w:t>
      </w:r>
      <w:r w:rsidR="00DB6806">
        <w:rPr>
          <w:rFonts w:cs="Arial"/>
          <w:bCs/>
          <w:spacing w:val="-14"/>
          <w:w w:val="80"/>
          <w:kern w:val="48"/>
        </w:rPr>
        <w:t xml:space="preserve"> </w:t>
      </w:r>
      <w:r w:rsidR="004638DD" w:rsidRPr="00A36633">
        <w:rPr>
          <w:rFonts w:cs="Arial"/>
          <w:bCs/>
          <w:spacing w:val="-14"/>
          <w:w w:val="80"/>
          <w:kern w:val="48"/>
        </w:rPr>
        <w:t xml:space="preserve">και </w:t>
      </w:r>
      <w:r w:rsidR="00DB6806">
        <w:rPr>
          <w:rFonts w:cs="Arial"/>
          <w:bCs/>
          <w:spacing w:val="-14"/>
          <w:w w:val="80"/>
          <w:kern w:val="48"/>
        </w:rPr>
        <w:t xml:space="preserve"> </w:t>
      </w:r>
      <w:r w:rsidR="004638DD" w:rsidRPr="00A36633">
        <w:rPr>
          <w:rFonts w:cs="Arial"/>
          <w:bCs/>
          <w:spacing w:val="-14"/>
          <w:w w:val="80"/>
          <w:kern w:val="48"/>
        </w:rPr>
        <w:t>Δήμοι αλλά και το σύνολο των κλάδων της τουριστικής βιομηχανίας της περιοχής. Σημειώνουμε</w:t>
      </w:r>
      <w:r w:rsidR="005215BF">
        <w:rPr>
          <w:rFonts w:cs="Arial"/>
          <w:bCs/>
          <w:spacing w:val="-14"/>
          <w:w w:val="80"/>
          <w:kern w:val="48"/>
        </w:rPr>
        <w:t>,</w:t>
      </w:r>
      <w:r w:rsidR="004638DD" w:rsidRPr="00A36633">
        <w:rPr>
          <w:rFonts w:cs="Arial"/>
          <w:bCs/>
          <w:spacing w:val="-14"/>
          <w:w w:val="80"/>
          <w:kern w:val="48"/>
        </w:rPr>
        <w:t xml:space="preserve"> </w:t>
      </w:r>
      <w:r w:rsidR="005215BF">
        <w:rPr>
          <w:rFonts w:cs="Arial"/>
          <w:bCs/>
          <w:spacing w:val="-14"/>
          <w:w w:val="80"/>
          <w:kern w:val="48"/>
        </w:rPr>
        <w:t>επίσης,</w:t>
      </w:r>
      <w:r w:rsidR="004638DD" w:rsidRPr="00A36633">
        <w:rPr>
          <w:rFonts w:cs="Arial"/>
          <w:bCs/>
          <w:spacing w:val="-14"/>
          <w:w w:val="80"/>
          <w:kern w:val="48"/>
        </w:rPr>
        <w:t xml:space="preserve"> ότι για κάθε γάμο στο νησί οι κρατήσεις σε ξενοδοχεία ανέρχονται σε 30</w:t>
      </w:r>
      <w:r w:rsidR="00DB6806">
        <w:rPr>
          <w:rFonts w:cs="Arial"/>
          <w:bCs/>
          <w:spacing w:val="-14"/>
          <w:w w:val="80"/>
          <w:kern w:val="48"/>
        </w:rPr>
        <w:t>, τουλάχιστο</w:t>
      </w:r>
      <w:r w:rsidR="004638DD" w:rsidRPr="00A36633">
        <w:rPr>
          <w:rFonts w:cs="Arial"/>
          <w:bCs/>
          <w:spacing w:val="-14"/>
          <w:w w:val="80"/>
          <w:kern w:val="48"/>
        </w:rPr>
        <w:t xml:space="preserve"> (φίλοι και συγγενείς των νεόνυμφων), ενώ σύμφωνα με την πλατφόρμα </w:t>
      </w:r>
      <w:proofErr w:type="spellStart"/>
      <w:r w:rsidR="004638DD" w:rsidRPr="00A36633">
        <w:rPr>
          <w:rFonts w:cs="Arial"/>
          <w:bCs/>
          <w:spacing w:val="-14"/>
          <w:w w:val="80"/>
          <w:kern w:val="48"/>
        </w:rPr>
        <w:t>Bookyourweddingday</w:t>
      </w:r>
      <w:proofErr w:type="spellEnd"/>
      <w:r w:rsidR="004638DD" w:rsidRPr="00A36633">
        <w:rPr>
          <w:rFonts w:cs="Arial"/>
          <w:bCs/>
          <w:spacing w:val="-14"/>
          <w:w w:val="80"/>
          <w:kern w:val="48"/>
        </w:rPr>
        <w:t xml:space="preserve"> ο γαμήλιος τουρισμός αποφέρει στην κ/ οικονομία, πέραν των 100 εκατ. Ευρώ ετησίως.   </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638DD" w:rsidRPr="00A36633">
        <w:rPr>
          <w:rFonts w:cs="Arial"/>
          <w:bCs/>
          <w:spacing w:val="-14"/>
          <w:w w:val="80"/>
          <w:kern w:val="48"/>
        </w:rPr>
        <w:t>Σύμφωνα δε, με την ίδια πλατφόρμα, η Κύπρος αποτελεί ιδανικό προορισμό γαμήλιου τουρισμού, λόγω της απλοποίησης των διαδικασιών κράτησης πολιτικού γάμου για τουρίστες, της μείωσης της γραφειοκρατίας, των τοπίων της χώρας και του επαγγελματισμού</w:t>
      </w:r>
      <w:r w:rsidR="005215BF">
        <w:rPr>
          <w:rFonts w:cs="Arial"/>
          <w:bCs/>
          <w:spacing w:val="-14"/>
          <w:w w:val="80"/>
          <w:kern w:val="48"/>
        </w:rPr>
        <w:t>,</w:t>
      </w:r>
      <w:r w:rsidR="004638DD" w:rsidRPr="00A36633">
        <w:rPr>
          <w:rFonts w:cs="Arial"/>
          <w:bCs/>
          <w:spacing w:val="-14"/>
          <w:w w:val="80"/>
          <w:kern w:val="48"/>
        </w:rPr>
        <w:t xml:space="preserve"> όσων δραστηριοποιούνται στον κλάδο.</w:t>
      </w:r>
      <w:r w:rsidR="0049409A" w:rsidRPr="00A36633">
        <w:rPr>
          <w:rFonts w:eastAsia="Andale Sans UI" w:cs="Arial"/>
          <w:bCs/>
          <w:color w:val="31849B"/>
          <w:kern w:val="1"/>
        </w:rPr>
        <w:t xml:space="preserve"> </w:t>
      </w:r>
    </w:p>
    <w:p w:rsidR="0021642C" w:rsidRDefault="0021642C"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21642C" w:rsidRDefault="001B253F" w:rsidP="0021642C">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bCs/>
          <w:color w:val="0070C0"/>
          <w:spacing w:val="-14"/>
          <w:w w:val="80"/>
          <w:kern w:val="48"/>
        </w:rPr>
        <w:t>2.3</w:t>
      </w:r>
      <w:r w:rsidR="00ED1B56" w:rsidRPr="00B77D7A">
        <w:rPr>
          <w:rFonts w:cs="Arial"/>
          <w:b/>
          <w:bCs/>
          <w:color w:val="0070C0"/>
          <w:spacing w:val="-14"/>
          <w:w w:val="80"/>
          <w:kern w:val="48"/>
        </w:rPr>
        <w:t xml:space="preserve"> </w:t>
      </w:r>
      <w:r w:rsidR="0049409A" w:rsidRPr="00B77D7A">
        <w:rPr>
          <w:rFonts w:cs="Arial"/>
          <w:b/>
          <w:bCs/>
          <w:color w:val="0070C0"/>
          <w:spacing w:val="-14"/>
          <w:w w:val="80"/>
          <w:kern w:val="48"/>
        </w:rPr>
        <w:t xml:space="preserve"> Ναυτικός τουρισμός - Ίδρυση  Δικτύου Μαρίνων Ανατολικής Μεσογείου</w:t>
      </w:r>
      <w:r w:rsidR="0049409A" w:rsidRPr="00B77D7A">
        <w:rPr>
          <w:rFonts w:eastAsia="Times New Roman" w:cs="Arial"/>
          <w:b/>
          <w:lang w:eastAsia="zh-CN"/>
        </w:rPr>
        <w:t xml:space="preserve"> </w:t>
      </w:r>
    </w:p>
    <w:p w:rsidR="004C4036" w:rsidRDefault="0021642C"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9409A" w:rsidRPr="00A36633">
        <w:rPr>
          <w:rFonts w:cs="Arial"/>
          <w:bCs/>
          <w:spacing w:val="-14"/>
          <w:w w:val="80"/>
          <w:kern w:val="48"/>
        </w:rPr>
        <w:t>Στην  ίδρυση του Δικτύου Μαρίνων Ανατολικής Μεσογείου (ΔΜΑΜ) προχώρησαν από κοινού οι εταιρείες, που διαχειρίζονται τις μαρίνες Αγίας Νάπας, Ρόδου, Σύμης και Κω</w:t>
      </w:r>
      <w:r w:rsidR="005F2CEF">
        <w:rPr>
          <w:rFonts w:cs="Arial"/>
          <w:bCs/>
          <w:spacing w:val="-14"/>
          <w:w w:val="80"/>
          <w:kern w:val="48"/>
        </w:rPr>
        <w:t>,</w:t>
      </w:r>
      <w:r w:rsidR="0049409A" w:rsidRPr="00A36633">
        <w:rPr>
          <w:rFonts w:cs="Arial"/>
          <w:bCs/>
          <w:spacing w:val="-14"/>
          <w:w w:val="80"/>
          <w:kern w:val="48"/>
        </w:rPr>
        <w:t xml:space="preserve"> με βασικό στόχο την αναβάθμιση των παρεχόμενων υπηρεσιών στους κατόχους σκαφών αναψυχής και την περαιτέρω ανάπτυξη του ναυτικού τουρισμού στην ευρύτερη περιοχή της Ανατολικής Μεσογείου.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9409A" w:rsidRPr="00A36633">
        <w:rPr>
          <w:rFonts w:cs="Arial"/>
          <w:bCs/>
          <w:spacing w:val="-14"/>
          <w:w w:val="80"/>
          <w:kern w:val="48"/>
        </w:rPr>
        <w:t xml:space="preserve">Το μνημόνιο συνεργασίας υπεγράφη στο </w:t>
      </w:r>
      <w:proofErr w:type="spellStart"/>
      <w:r w:rsidR="0049409A" w:rsidRPr="00A36633">
        <w:rPr>
          <w:rFonts w:cs="Arial"/>
          <w:bCs/>
          <w:spacing w:val="-14"/>
          <w:w w:val="80"/>
          <w:kern w:val="48"/>
        </w:rPr>
        <w:t>Event</w:t>
      </w:r>
      <w:proofErr w:type="spellEnd"/>
      <w:r w:rsidR="0049409A" w:rsidRPr="00A36633">
        <w:rPr>
          <w:rFonts w:cs="Arial"/>
          <w:bCs/>
          <w:spacing w:val="-14"/>
          <w:w w:val="80"/>
          <w:kern w:val="48"/>
        </w:rPr>
        <w:t xml:space="preserve"> </w:t>
      </w:r>
      <w:proofErr w:type="spellStart"/>
      <w:r w:rsidR="0049409A" w:rsidRPr="00A36633">
        <w:rPr>
          <w:rFonts w:cs="Arial"/>
          <w:bCs/>
          <w:spacing w:val="-14"/>
          <w:w w:val="80"/>
          <w:kern w:val="48"/>
        </w:rPr>
        <w:t>Center</w:t>
      </w:r>
      <w:proofErr w:type="spellEnd"/>
      <w:r w:rsidR="0049409A" w:rsidRPr="00A36633">
        <w:rPr>
          <w:rFonts w:cs="Arial"/>
          <w:bCs/>
          <w:spacing w:val="-14"/>
          <w:w w:val="80"/>
          <w:kern w:val="48"/>
        </w:rPr>
        <w:t xml:space="preserve"> της μαρίνας Αγίας Νάπας από εκπροσώπους των εταιρειών διαχείρισης των συνεργαζόμενων μαρίνων, υπό την παρουσία εκπροσώπων των αρμόδιων φορέων και </w:t>
      </w:r>
      <w:r w:rsidR="0049409A" w:rsidRPr="00A36633">
        <w:rPr>
          <w:rFonts w:cs="Arial"/>
          <w:bCs/>
          <w:spacing w:val="-14"/>
          <w:w w:val="80"/>
          <w:kern w:val="48"/>
          <w:lang w:val="en-US"/>
        </w:rPr>
        <w:t>Y</w:t>
      </w:r>
      <w:proofErr w:type="spellStart"/>
      <w:r w:rsidR="0049409A" w:rsidRPr="00A36633">
        <w:rPr>
          <w:rFonts w:cs="Arial"/>
          <w:bCs/>
          <w:spacing w:val="-14"/>
          <w:w w:val="80"/>
          <w:kern w:val="48"/>
        </w:rPr>
        <w:t>πουργείων</w:t>
      </w:r>
      <w:proofErr w:type="spellEnd"/>
      <w:r w:rsidR="0049409A" w:rsidRPr="00A36633">
        <w:rPr>
          <w:rFonts w:cs="Arial"/>
          <w:bCs/>
          <w:spacing w:val="-14"/>
          <w:w w:val="80"/>
          <w:kern w:val="48"/>
        </w:rPr>
        <w:t xml:space="preserve"> της Κυπριακής Δημοκρατίας. Τη μαρίνα Αγίας Νάπας εκπροσώπησε ο Δ/ντής της, κ. Κ. </w:t>
      </w:r>
      <w:proofErr w:type="spellStart"/>
      <w:r w:rsidR="0049409A" w:rsidRPr="00A36633">
        <w:rPr>
          <w:rFonts w:cs="Arial"/>
          <w:bCs/>
          <w:spacing w:val="-14"/>
          <w:w w:val="80"/>
          <w:kern w:val="48"/>
        </w:rPr>
        <w:t>Φυτιρής</w:t>
      </w:r>
      <w:proofErr w:type="spellEnd"/>
      <w:r w:rsidR="0049409A" w:rsidRPr="00A36633">
        <w:rPr>
          <w:rFonts w:cs="Arial"/>
          <w:bCs/>
          <w:spacing w:val="-14"/>
          <w:w w:val="80"/>
          <w:kern w:val="48"/>
        </w:rPr>
        <w:t>. Σύμφωνα με το υπογεγραμμένο μνημόνιο συνεργασίας, οι τέσσερις μαρίνες-μέλη του δικτύου θα συμπράξουν</w:t>
      </w:r>
      <w:r w:rsidR="005F2CEF">
        <w:rPr>
          <w:rFonts w:cs="Arial"/>
          <w:bCs/>
          <w:spacing w:val="-14"/>
          <w:w w:val="80"/>
          <w:kern w:val="48"/>
        </w:rPr>
        <w:t>,</w:t>
      </w:r>
      <w:r w:rsidR="0049409A" w:rsidRPr="00A36633">
        <w:rPr>
          <w:rFonts w:cs="Arial"/>
          <w:bCs/>
          <w:spacing w:val="-14"/>
          <w:w w:val="80"/>
          <w:kern w:val="48"/>
        </w:rPr>
        <w:t xml:space="preserve"> με σκοπό την επίτευξη των βέλτιστων πολιτικών προβολής και τη διαμόρφωση προϋποθέσεων ανάπτυξης και συνεργασίας.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9409A" w:rsidRPr="00A36633">
        <w:rPr>
          <w:rFonts w:cs="Arial"/>
          <w:bCs/>
          <w:spacing w:val="-14"/>
          <w:w w:val="80"/>
          <w:kern w:val="48"/>
        </w:rPr>
        <w:t>Κάθε μαρίνα</w:t>
      </w:r>
      <w:r w:rsidR="005F2CEF">
        <w:rPr>
          <w:rFonts w:cs="Arial"/>
          <w:bCs/>
          <w:spacing w:val="-14"/>
          <w:w w:val="80"/>
          <w:kern w:val="48"/>
        </w:rPr>
        <w:t xml:space="preserve"> </w:t>
      </w:r>
      <w:r w:rsidR="0049409A" w:rsidRPr="00A36633">
        <w:rPr>
          <w:rFonts w:cs="Arial"/>
          <w:bCs/>
          <w:spacing w:val="-14"/>
          <w:w w:val="80"/>
          <w:kern w:val="48"/>
        </w:rPr>
        <w:t>-</w:t>
      </w:r>
      <w:r w:rsidR="005F2CEF">
        <w:rPr>
          <w:rFonts w:cs="Arial"/>
          <w:bCs/>
          <w:spacing w:val="-14"/>
          <w:w w:val="80"/>
          <w:kern w:val="48"/>
        </w:rPr>
        <w:t xml:space="preserve"> </w:t>
      </w:r>
      <w:r w:rsidR="0049409A" w:rsidRPr="00A36633">
        <w:rPr>
          <w:rFonts w:cs="Arial"/>
          <w:bCs/>
          <w:spacing w:val="-14"/>
          <w:w w:val="80"/>
          <w:kern w:val="48"/>
        </w:rPr>
        <w:t xml:space="preserve">μέλος του ΔΜΑΜ θα συμμετέχει σε δράσεις για την προώθηση της ανάπτυξης του ναυτικού τουρισμού στη Μεσόγειο στον τομέα του </w:t>
      </w:r>
      <w:proofErr w:type="spellStart"/>
      <w:r w:rsidR="0049409A" w:rsidRPr="00A36633">
        <w:rPr>
          <w:rFonts w:cs="Arial"/>
          <w:bCs/>
          <w:spacing w:val="-14"/>
          <w:w w:val="80"/>
          <w:kern w:val="48"/>
        </w:rPr>
        <w:t>yachting</w:t>
      </w:r>
      <w:proofErr w:type="spellEnd"/>
      <w:r w:rsidR="0049409A" w:rsidRPr="00A36633">
        <w:rPr>
          <w:rFonts w:cs="Arial"/>
          <w:bCs/>
          <w:spacing w:val="-14"/>
          <w:w w:val="80"/>
          <w:kern w:val="48"/>
        </w:rPr>
        <w:t xml:space="preserve">.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9409A" w:rsidRPr="00A36633">
        <w:rPr>
          <w:rFonts w:cs="Arial"/>
          <w:bCs/>
          <w:spacing w:val="-14"/>
          <w:w w:val="80"/>
          <w:kern w:val="48"/>
        </w:rPr>
        <w:t>Παράλληλα, θα καταβάλουν κάθε δυνατή προσπάθεια για την παροχή υψηλού επιπέδου υπηρεσιών στους πελάτες του δικτύου, οι οποίοι θα απολαμβάνουν αποκλειστικά προνόμια στις τέσσερις μαρίνες-μέλη. Επίσης, τα μέλη δεσμεύονται να διοργανώνουν από κοινού δραστηριότητες προβολής των μαρίνων (ημερίδες, εκθέσεις και εκδηλώσεις, κοινά σεμινάρια για τη συνεχή εκπαίδευση και ενημέρωση των εργαζομένων πάνω σε θέματα προβολής, ανάπτυξης, ασφαλούς διαχείρισης, διεθνών πρακτικών και τεχνογνωσίας). Τέλος, θα ανταλλάσσουν απόψεις σε θέματα εναλλακτικών πηγών πράσινης ενέργειας, με σκοπό το μηδενικό αποτύπωμα ρύπανσης</w:t>
      </w:r>
      <w:r w:rsidR="005F2CEF">
        <w:rPr>
          <w:rFonts w:cs="Arial"/>
          <w:bCs/>
          <w:spacing w:val="-14"/>
          <w:w w:val="80"/>
          <w:kern w:val="48"/>
        </w:rPr>
        <w:t>,</w:t>
      </w:r>
      <w:r w:rsidR="0049409A" w:rsidRPr="00A36633">
        <w:rPr>
          <w:rFonts w:cs="Arial"/>
          <w:bCs/>
          <w:spacing w:val="-14"/>
          <w:w w:val="80"/>
          <w:kern w:val="48"/>
        </w:rPr>
        <w:t xml:space="preserve"> </w:t>
      </w:r>
      <w:r w:rsidR="005F2CEF">
        <w:rPr>
          <w:rFonts w:cs="Arial"/>
          <w:bCs/>
          <w:spacing w:val="-14"/>
          <w:w w:val="80"/>
          <w:kern w:val="48"/>
        </w:rPr>
        <w:t xml:space="preserve">αναφορικά με τη </w:t>
      </w:r>
      <w:r w:rsidR="0049409A" w:rsidRPr="00A36633">
        <w:rPr>
          <w:rFonts w:cs="Arial"/>
          <w:bCs/>
          <w:spacing w:val="-14"/>
          <w:w w:val="80"/>
          <w:kern w:val="48"/>
        </w:rPr>
        <w:t xml:space="preserve">λειτουργία των </w:t>
      </w:r>
      <w:r w:rsidR="0049409A" w:rsidRPr="00A36633">
        <w:rPr>
          <w:rFonts w:cs="Arial"/>
          <w:bCs/>
          <w:spacing w:val="-14"/>
          <w:w w:val="80"/>
          <w:kern w:val="48"/>
        </w:rPr>
        <w:lastRenderedPageBreak/>
        <w:t xml:space="preserve">εγκαταστάσεων και τον ελλιμενισμό των σκαφών.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49409A" w:rsidRPr="00A36633">
        <w:rPr>
          <w:rFonts w:cs="Arial"/>
          <w:bCs/>
          <w:spacing w:val="-14"/>
          <w:w w:val="80"/>
          <w:kern w:val="48"/>
        </w:rPr>
        <w:t xml:space="preserve"> Παρόμοια τελετή διεξήχθη στην Αθήνα, κατά τη διάρκεια του </w:t>
      </w:r>
      <w:proofErr w:type="spellStart"/>
      <w:r w:rsidR="0049409A" w:rsidRPr="00A36633">
        <w:rPr>
          <w:rFonts w:cs="Arial"/>
          <w:bCs/>
          <w:spacing w:val="-14"/>
          <w:w w:val="80"/>
          <w:kern w:val="48"/>
        </w:rPr>
        <w:t>Athens</w:t>
      </w:r>
      <w:proofErr w:type="spellEnd"/>
      <w:r w:rsidR="0049409A" w:rsidRPr="00A36633">
        <w:rPr>
          <w:rFonts w:cs="Arial"/>
          <w:bCs/>
          <w:spacing w:val="-14"/>
          <w:w w:val="80"/>
          <w:kern w:val="48"/>
        </w:rPr>
        <w:t xml:space="preserve"> </w:t>
      </w:r>
      <w:proofErr w:type="spellStart"/>
      <w:r w:rsidR="0049409A" w:rsidRPr="00A36633">
        <w:rPr>
          <w:rFonts w:cs="Arial"/>
          <w:bCs/>
          <w:spacing w:val="-14"/>
          <w:w w:val="80"/>
          <w:kern w:val="48"/>
        </w:rPr>
        <w:t>Boat</w:t>
      </w:r>
      <w:proofErr w:type="spellEnd"/>
      <w:r w:rsidR="0049409A" w:rsidRPr="00A36633">
        <w:rPr>
          <w:rFonts w:cs="Arial"/>
          <w:bCs/>
          <w:spacing w:val="-14"/>
          <w:w w:val="80"/>
          <w:kern w:val="48"/>
        </w:rPr>
        <w:t xml:space="preserve"> </w:t>
      </w:r>
      <w:proofErr w:type="spellStart"/>
      <w:r w:rsidR="0049409A" w:rsidRPr="00A36633">
        <w:rPr>
          <w:rFonts w:cs="Arial"/>
          <w:bCs/>
          <w:spacing w:val="-14"/>
          <w:w w:val="80"/>
          <w:kern w:val="48"/>
        </w:rPr>
        <w:t>Show</w:t>
      </w:r>
      <w:proofErr w:type="spellEnd"/>
      <w:r w:rsidR="0049409A" w:rsidRPr="00A36633">
        <w:rPr>
          <w:rFonts w:cs="Arial"/>
          <w:bCs/>
          <w:spacing w:val="-14"/>
          <w:w w:val="80"/>
          <w:kern w:val="48"/>
        </w:rPr>
        <w:t xml:space="preserve"> (Δεκέμβριος 2023).</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4C4036" w:rsidRDefault="00484C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A36633">
        <w:rPr>
          <w:rFonts w:cs="Arial"/>
          <w:color w:val="0070C0"/>
          <w:spacing w:val="-14"/>
          <w:w w:val="80"/>
          <w:kern w:val="48"/>
        </w:rPr>
        <w:t>3</w:t>
      </w:r>
      <w:r w:rsidRPr="00B77D7A">
        <w:rPr>
          <w:rFonts w:cs="Arial"/>
          <w:b/>
          <w:color w:val="0070C0"/>
          <w:spacing w:val="-14"/>
          <w:w w:val="80"/>
          <w:kern w:val="48"/>
        </w:rPr>
        <w:t>. ΤΡΑΠΕΖΙΚΟΣ ΤΟΜΕΑΣ</w:t>
      </w:r>
      <w:r w:rsidR="005F2CEF">
        <w:rPr>
          <w:rFonts w:cs="Arial"/>
          <w:b/>
          <w:color w:val="0070C0"/>
          <w:spacing w:val="-14"/>
          <w:w w:val="80"/>
          <w:kern w:val="48"/>
        </w:rPr>
        <w:t xml:space="preserve"> -</w:t>
      </w:r>
      <w:r w:rsidR="00CB1234" w:rsidRPr="00B77D7A">
        <w:rPr>
          <w:rFonts w:cs="Arial"/>
          <w:b/>
          <w:color w:val="0070C0"/>
          <w:spacing w:val="-14"/>
          <w:w w:val="80"/>
          <w:kern w:val="48"/>
        </w:rPr>
        <w:t xml:space="preserve"> ΧΡΗΜΑΤΟΟΙΚΟΝΟΜΙΚΑ </w:t>
      </w:r>
      <w:r w:rsidR="00DB6806">
        <w:rPr>
          <w:rFonts w:cs="Arial"/>
          <w:b/>
          <w:color w:val="0070C0"/>
          <w:spacing w:val="-14"/>
          <w:w w:val="80"/>
          <w:kern w:val="48"/>
        </w:rPr>
        <w:t>–</w:t>
      </w:r>
      <w:r w:rsidR="00CB1234" w:rsidRPr="00B77D7A">
        <w:rPr>
          <w:rFonts w:cs="Arial"/>
          <w:b/>
          <w:color w:val="0070C0"/>
          <w:spacing w:val="-14"/>
          <w:w w:val="80"/>
          <w:kern w:val="48"/>
        </w:rPr>
        <w:t xml:space="preserve"> ΥΠΗΡΕΣΙΕΣ</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rFonts w:cs="Arial"/>
          <w:b/>
          <w:color w:val="0070C0"/>
          <w:spacing w:val="-14"/>
          <w:w w:val="80"/>
          <w:kern w:val="48"/>
        </w:rPr>
      </w:pPr>
    </w:p>
    <w:p w:rsidR="004C4036" w:rsidRDefault="00484C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0070C0"/>
          <w:spacing w:val="-14"/>
          <w:w w:val="80"/>
          <w:kern w:val="48"/>
        </w:rPr>
        <w:t xml:space="preserve">3.1 </w:t>
      </w:r>
      <w:r w:rsidR="00477CF8" w:rsidRPr="00B77D7A">
        <w:rPr>
          <w:rFonts w:cs="Arial"/>
          <w:b/>
          <w:color w:val="0070C0"/>
          <w:spacing w:val="-14"/>
          <w:w w:val="80"/>
          <w:kern w:val="48"/>
        </w:rPr>
        <w:t xml:space="preserve"> </w:t>
      </w:r>
      <w:r w:rsidR="009C657F" w:rsidRPr="00B77D7A">
        <w:rPr>
          <w:rFonts w:cs="Arial"/>
          <w:b/>
          <w:color w:val="0070C0"/>
          <w:spacing w:val="-14"/>
          <w:w w:val="80"/>
          <w:kern w:val="48"/>
        </w:rPr>
        <w:t xml:space="preserve">Ανάληψη καθηκόντων του νέου Διοικητή της Κεντρικής Τράπεζας Κύπρου, κ. Χ. </w:t>
      </w:r>
      <w:proofErr w:type="spellStart"/>
      <w:r w:rsidR="009C657F" w:rsidRPr="00B77D7A">
        <w:rPr>
          <w:rFonts w:cs="Arial"/>
          <w:b/>
          <w:color w:val="0070C0"/>
          <w:spacing w:val="-14"/>
          <w:w w:val="80"/>
          <w:kern w:val="48"/>
        </w:rPr>
        <w:t>Πατσαλίδη</w:t>
      </w:r>
      <w:proofErr w:type="spellEnd"/>
      <w:r w:rsidR="009C657F" w:rsidRPr="00B77D7A">
        <w:rPr>
          <w:rFonts w:cs="Arial"/>
          <w:b/>
          <w:color w:val="0070C0"/>
          <w:spacing w:val="-14"/>
          <w:w w:val="80"/>
          <w:kern w:val="48"/>
        </w:rPr>
        <w:t xml:space="preserve"> από 11.4. </w:t>
      </w:r>
      <w:proofErr w:type="spellStart"/>
      <w:r w:rsidR="009C657F" w:rsidRPr="00B77D7A">
        <w:rPr>
          <w:rFonts w:cs="Arial"/>
          <w:b/>
          <w:color w:val="0070C0"/>
          <w:spacing w:val="-14"/>
          <w:w w:val="80"/>
          <w:kern w:val="48"/>
        </w:rPr>
        <w:t>τ.έ</w:t>
      </w:r>
      <w:proofErr w:type="spellEnd"/>
      <w:r w:rsidR="009C657F" w:rsidRPr="00B77D7A">
        <w:rPr>
          <w:rFonts w:cs="Arial"/>
          <w:b/>
          <w:color w:val="0070C0"/>
          <w:spacing w:val="-14"/>
          <w:w w:val="80"/>
          <w:kern w:val="48"/>
        </w:rPr>
        <w:t>.</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9C657F" w:rsidRPr="009C657F">
        <w:rPr>
          <w:rFonts w:cs="Arial"/>
          <w:spacing w:val="-14"/>
          <w:w w:val="80"/>
          <w:kern w:val="48"/>
        </w:rPr>
        <w:t xml:space="preserve">Νέος Διοικητής στην Κεντρική Τράπεζα της Κύπρου αναλαμβάνει ο κ. Χριστόδουλος </w:t>
      </w:r>
      <w:proofErr w:type="spellStart"/>
      <w:r w:rsidR="009C657F" w:rsidRPr="009C657F">
        <w:rPr>
          <w:rFonts w:cs="Arial"/>
          <w:spacing w:val="-14"/>
          <w:w w:val="80"/>
          <w:kern w:val="48"/>
        </w:rPr>
        <w:t>Πατσαλίδης</w:t>
      </w:r>
      <w:proofErr w:type="spellEnd"/>
      <w:r w:rsidR="009C657F" w:rsidRPr="009C657F">
        <w:rPr>
          <w:rFonts w:cs="Arial"/>
          <w:spacing w:val="-14"/>
          <w:w w:val="80"/>
          <w:kern w:val="48"/>
        </w:rPr>
        <w:t xml:space="preserve">, διαδεχόμενος τον κ. Κ. Ηροδότου. Συγκεκριμένα ο κ. </w:t>
      </w:r>
      <w:proofErr w:type="spellStart"/>
      <w:r w:rsidR="009C657F" w:rsidRPr="009C657F">
        <w:rPr>
          <w:rFonts w:cs="Arial"/>
          <w:spacing w:val="-14"/>
          <w:w w:val="80"/>
          <w:kern w:val="48"/>
        </w:rPr>
        <w:t>Πατσαλίδης</w:t>
      </w:r>
      <w:proofErr w:type="spellEnd"/>
      <w:r w:rsidR="009C657F" w:rsidRPr="009C657F">
        <w:rPr>
          <w:rFonts w:cs="Arial"/>
          <w:spacing w:val="-14"/>
          <w:w w:val="80"/>
          <w:kern w:val="48"/>
        </w:rPr>
        <w:t xml:space="preserve"> αναλαμβάνει επίσημα καθήκοντα</w:t>
      </w:r>
      <w:r w:rsidR="005F2CEF">
        <w:rPr>
          <w:rFonts w:cs="Arial"/>
          <w:spacing w:val="-14"/>
          <w:w w:val="80"/>
          <w:kern w:val="48"/>
        </w:rPr>
        <w:t>,</w:t>
      </w:r>
      <w:r w:rsidR="009C657F" w:rsidRPr="009C657F">
        <w:rPr>
          <w:rFonts w:cs="Arial"/>
          <w:spacing w:val="-14"/>
          <w:w w:val="80"/>
          <w:kern w:val="48"/>
        </w:rPr>
        <w:t xml:space="preserve"> στις 11.4.24, ημέρα</w:t>
      </w:r>
      <w:r w:rsidR="005F2CEF">
        <w:rPr>
          <w:rFonts w:cs="Arial"/>
          <w:spacing w:val="-14"/>
          <w:w w:val="80"/>
          <w:kern w:val="48"/>
        </w:rPr>
        <w:t>,</w:t>
      </w:r>
      <w:r w:rsidR="009C657F" w:rsidRPr="009C657F">
        <w:rPr>
          <w:rFonts w:cs="Arial"/>
          <w:spacing w:val="-14"/>
          <w:w w:val="80"/>
          <w:kern w:val="48"/>
        </w:rPr>
        <w:t xml:space="preserve"> κατά την οποία εκπροσωπεί την Κύπρο στη συνεδρίαση της νομισματικής πολιτικής στη Φρανκφούρτη.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9C657F" w:rsidRPr="009C657F">
        <w:rPr>
          <w:rFonts w:cs="Arial"/>
          <w:spacing w:val="-14"/>
          <w:w w:val="80"/>
          <w:kern w:val="48"/>
        </w:rPr>
        <w:t xml:space="preserve">Ο κ. Χ. </w:t>
      </w:r>
      <w:proofErr w:type="spellStart"/>
      <w:r w:rsidR="009C657F" w:rsidRPr="009C657F">
        <w:rPr>
          <w:rFonts w:cs="Arial"/>
          <w:spacing w:val="-14"/>
          <w:w w:val="80"/>
          <w:kern w:val="48"/>
        </w:rPr>
        <w:t>Πατσαλίδης</w:t>
      </w:r>
      <w:proofErr w:type="spellEnd"/>
      <w:r w:rsidR="009C657F" w:rsidRPr="009C657F">
        <w:rPr>
          <w:rFonts w:cs="Arial"/>
          <w:spacing w:val="-14"/>
          <w:w w:val="80"/>
          <w:kern w:val="48"/>
        </w:rPr>
        <w:t xml:space="preserve"> είναι οικονομολόγος</w:t>
      </w:r>
      <w:r w:rsidR="005F2CEF">
        <w:rPr>
          <w:rFonts w:cs="Arial"/>
          <w:spacing w:val="-14"/>
          <w:w w:val="80"/>
          <w:kern w:val="48"/>
        </w:rPr>
        <w:t>,</w:t>
      </w:r>
      <w:r w:rsidR="009C657F" w:rsidRPr="009C657F">
        <w:rPr>
          <w:rFonts w:cs="Arial"/>
          <w:spacing w:val="-14"/>
          <w:w w:val="80"/>
          <w:kern w:val="48"/>
        </w:rPr>
        <w:t xml:space="preserve"> με σπουδές στο Λονδίνο και προϋπηρεσία στην Κεντρική Τράπεζα της Κύπρου, όπου εργάστηκε στις Υπηρεσίες Διαχείρισης Εξωτερικού Χρέους και Συναλλαγματικών Αποθεμάτων (1989-1996). Ακολούθως εργάστηκε στην Τράπεζα Κύπρου (1996-2020),  όπου διηύθυνε την Υπηρεσία Διαχείρισης Διαθεσίμων και στη συνέχεια ανέλαβε τον τομέα των Χρηματοοικονομικών Αγορών. Μετά την κρίση του 2013, διορίστηκε Οικονομικός Διευθυντής Διαχείρισης και Εκτελεστικό Μέλος του Διοικητικο</w:t>
      </w:r>
      <w:r w:rsidR="005F2CEF">
        <w:rPr>
          <w:rFonts w:cs="Arial"/>
          <w:spacing w:val="-14"/>
          <w:w w:val="80"/>
          <w:kern w:val="48"/>
        </w:rPr>
        <w:t xml:space="preserve">ύ Συμβουλίου. Την περίοδο 2018 </w:t>
      </w:r>
      <w:r w:rsidR="008813AA">
        <w:rPr>
          <w:rFonts w:cs="Arial"/>
          <w:spacing w:val="-14"/>
          <w:w w:val="80"/>
          <w:kern w:val="48"/>
        </w:rPr>
        <w:t>–</w:t>
      </w:r>
      <w:r w:rsidR="009C657F" w:rsidRPr="009C657F">
        <w:rPr>
          <w:rFonts w:cs="Arial"/>
          <w:spacing w:val="-14"/>
          <w:w w:val="80"/>
          <w:kern w:val="48"/>
        </w:rPr>
        <w:t xml:space="preserve"> 2019</w:t>
      </w:r>
      <w:r w:rsidR="008813AA">
        <w:rPr>
          <w:rFonts w:cs="Arial"/>
          <w:spacing w:val="-14"/>
          <w:w w:val="80"/>
          <w:kern w:val="48"/>
        </w:rPr>
        <w:t>,</w:t>
      </w:r>
      <w:r w:rsidR="009C657F" w:rsidRPr="009C657F">
        <w:rPr>
          <w:rFonts w:cs="Arial"/>
          <w:spacing w:val="-14"/>
          <w:w w:val="80"/>
          <w:kern w:val="48"/>
        </w:rPr>
        <w:t xml:space="preserve"> διετέλεσε Πρόεδρος του Διοικητικού Συμβουλίου του Συνδέσμου Τραπεζών Κύπρου, ενώ</w:t>
      </w:r>
      <w:r w:rsidR="008813AA">
        <w:rPr>
          <w:rFonts w:cs="Arial"/>
          <w:spacing w:val="-14"/>
          <w:w w:val="80"/>
          <w:kern w:val="48"/>
        </w:rPr>
        <w:t>,</w:t>
      </w:r>
      <w:r w:rsidR="009C657F" w:rsidRPr="009C657F">
        <w:rPr>
          <w:rFonts w:cs="Arial"/>
          <w:spacing w:val="-14"/>
          <w:w w:val="80"/>
          <w:kern w:val="48"/>
        </w:rPr>
        <w:t xml:space="preserve"> τον Οκτώβριο του 2020</w:t>
      </w:r>
      <w:r w:rsidR="008813AA">
        <w:rPr>
          <w:rFonts w:cs="Arial"/>
          <w:spacing w:val="-14"/>
          <w:w w:val="80"/>
          <w:kern w:val="48"/>
        </w:rPr>
        <w:t>,</w:t>
      </w:r>
      <w:r w:rsidR="009C657F" w:rsidRPr="009C657F">
        <w:rPr>
          <w:rFonts w:cs="Arial"/>
          <w:spacing w:val="-14"/>
          <w:w w:val="80"/>
          <w:kern w:val="48"/>
        </w:rPr>
        <w:t xml:space="preserve"> αποχώρησε από την Τράπεζα Κύπρου. Τον Μάρτιο του 2023</w:t>
      </w:r>
      <w:r w:rsidR="008813AA">
        <w:rPr>
          <w:rFonts w:cs="Arial"/>
          <w:spacing w:val="-14"/>
          <w:w w:val="80"/>
          <w:kern w:val="48"/>
        </w:rPr>
        <w:t>,</w:t>
      </w:r>
      <w:r w:rsidR="009C657F" w:rsidRPr="009C657F">
        <w:rPr>
          <w:rFonts w:cs="Arial"/>
          <w:spacing w:val="-14"/>
          <w:w w:val="80"/>
          <w:kern w:val="48"/>
        </w:rPr>
        <w:t xml:space="preserve"> διορίστηκε από τον Πρόεδρο της Κυπριακής Δημοκρατίας ως ειδικός Σύμβουλος του σε θέματα Οικονομίας.</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96184B">
        <w:rPr>
          <w:rFonts w:cs="Arial"/>
          <w:spacing w:val="-14"/>
          <w:w w:val="80"/>
          <w:kern w:val="48"/>
        </w:rPr>
        <w:t xml:space="preserve"> </w:t>
      </w:r>
      <w:r w:rsidR="009C657F" w:rsidRPr="009C657F">
        <w:rPr>
          <w:rFonts w:cs="Arial"/>
          <w:spacing w:val="-14"/>
          <w:w w:val="80"/>
          <w:kern w:val="48"/>
        </w:rPr>
        <w:t>Ο νέος Διοικητής της Κεντρικής Τράπεζας της Κύπρου έχει να αντιμετωπίσει μια σειρά σημαν</w:t>
      </w:r>
      <w:r w:rsidR="008813AA">
        <w:rPr>
          <w:rFonts w:cs="Arial"/>
          <w:spacing w:val="-14"/>
          <w:w w:val="80"/>
          <w:kern w:val="48"/>
        </w:rPr>
        <w:t>τικών προκλήσεων, με κυριότερες, τη σταθερότητα και</w:t>
      </w:r>
      <w:r w:rsidR="009C657F" w:rsidRPr="009C657F">
        <w:rPr>
          <w:rFonts w:cs="Arial"/>
          <w:spacing w:val="-14"/>
          <w:w w:val="80"/>
          <w:kern w:val="48"/>
        </w:rPr>
        <w:t xml:space="preserve"> χρηστή λειτουργία</w:t>
      </w:r>
      <w:r w:rsidR="008813AA">
        <w:rPr>
          <w:rFonts w:cs="Arial"/>
          <w:spacing w:val="-14"/>
          <w:w w:val="80"/>
          <w:kern w:val="48"/>
        </w:rPr>
        <w:t xml:space="preserve"> </w:t>
      </w:r>
      <w:r w:rsidR="009C657F" w:rsidRPr="009C657F">
        <w:rPr>
          <w:rFonts w:cs="Arial"/>
          <w:spacing w:val="-14"/>
          <w:w w:val="80"/>
          <w:kern w:val="48"/>
        </w:rPr>
        <w:t xml:space="preserve">-εποπτεία των τραπεζών, τις δράσεις των τραπεζών με αποτύπωμα στην κοινωνία </w:t>
      </w:r>
      <w:r w:rsidR="008813AA">
        <w:rPr>
          <w:rFonts w:cs="Arial"/>
          <w:spacing w:val="-14"/>
          <w:w w:val="80"/>
          <w:kern w:val="48"/>
        </w:rPr>
        <w:t xml:space="preserve"> καθώς </w:t>
      </w:r>
      <w:r w:rsidR="009C657F" w:rsidRPr="009C657F">
        <w:rPr>
          <w:rFonts w:cs="Arial"/>
          <w:spacing w:val="-14"/>
          <w:w w:val="80"/>
          <w:kern w:val="48"/>
        </w:rPr>
        <w:t>και την εσωτερική αναδιοργάνωση της Κεντρικής Τράπεζας της Κύπρου. Πέραν αυτών, σε σημαντική πρόκληση αναδεικνύεται και η διατήρηση της καλής φήμης</w:t>
      </w:r>
      <w:r w:rsidR="008813AA">
        <w:rPr>
          <w:rFonts w:cs="Arial"/>
          <w:spacing w:val="-14"/>
          <w:w w:val="80"/>
          <w:kern w:val="48"/>
        </w:rPr>
        <w:t xml:space="preserve"> -εικόνας της χώρας, </w:t>
      </w:r>
      <w:r w:rsidR="009C657F" w:rsidRPr="009C657F">
        <w:rPr>
          <w:rFonts w:cs="Arial"/>
          <w:spacing w:val="-14"/>
          <w:w w:val="80"/>
          <w:kern w:val="48"/>
        </w:rPr>
        <w:t>σε διεθνές επίπεδο.</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5F2CEF">
        <w:rPr>
          <w:rFonts w:cs="Arial"/>
          <w:spacing w:val="-14"/>
          <w:w w:val="80"/>
          <w:kern w:val="48"/>
        </w:rPr>
        <w:t>Σχετικά με το κ/</w:t>
      </w:r>
      <w:r w:rsidR="009C657F" w:rsidRPr="009C657F">
        <w:rPr>
          <w:rFonts w:cs="Arial"/>
          <w:spacing w:val="-14"/>
          <w:w w:val="80"/>
          <w:kern w:val="48"/>
        </w:rPr>
        <w:t>τραπεζικό σύστημα, παρά τους καλούς δείκτες των τραπεζών φαίνεται να απαιτείται ιδιαίτερη προσοχή, δεδομένου ότι οι οίκοι αξιολόγησης</w:t>
      </w:r>
      <w:r w:rsidR="008813AA">
        <w:rPr>
          <w:rFonts w:cs="Arial"/>
          <w:spacing w:val="-14"/>
          <w:w w:val="80"/>
          <w:kern w:val="48"/>
        </w:rPr>
        <w:t>,</w:t>
      </w:r>
      <w:r w:rsidR="009C657F" w:rsidRPr="009C657F">
        <w:rPr>
          <w:rFonts w:cs="Arial"/>
          <w:spacing w:val="-14"/>
          <w:w w:val="80"/>
          <w:kern w:val="48"/>
        </w:rPr>
        <w:t xml:space="preserve"> ναι μεν αναφέρονται θετικά στις επιτυχείς διαρθρωτικές αλλαγές των κυπριακών τραπεζών από τον καιρό της κρίσης και μετά, </w:t>
      </w:r>
      <w:r w:rsidR="005F2CEF">
        <w:rPr>
          <w:rFonts w:cs="Arial"/>
          <w:spacing w:val="-14"/>
          <w:w w:val="80"/>
          <w:kern w:val="48"/>
        </w:rPr>
        <w:t>όμως,</w:t>
      </w:r>
      <w:r w:rsidR="009C657F" w:rsidRPr="009C657F">
        <w:rPr>
          <w:rFonts w:cs="Arial"/>
          <w:spacing w:val="-14"/>
          <w:w w:val="80"/>
          <w:kern w:val="48"/>
        </w:rPr>
        <w:t xml:space="preserve"> κάθε Έκθεσή τους συνοδεύεται από επισημάνσεις και παρατηρήσεις για οικονομικές πολιτικές που χρήζουν προσοχής. Οι τράπεζες είναι</w:t>
      </w:r>
      <w:r w:rsidR="008813AA">
        <w:rPr>
          <w:rFonts w:cs="Arial"/>
          <w:spacing w:val="-14"/>
          <w:w w:val="80"/>
          <w:kern w:val="48"/>
        </w:rPr>
        <w:t>,</w:t>
      </w:r>
      <w:r w:rsidR="009C657F" w:rsidRPr="009C657F">
        <w:rPr>
          <w:rFonts w:cs="Arial"/>
          <w:spacing w:val="-14"/>
          <w:w w:val="80"/>
          <w:kern w:val="48"/>
        </w:rPr>
        <w:t xml:space="preserve"> στην παρούσα φάση</w:t>
      </w:r>
      <w:r w:rsidR="008813AA">
        <w:rPr>
          <w:rFonts w:cs="Arial"/>
          <w:spacing w:val="-14"/>
          <w:w w:val="80"/>
          <w:kern w:val="48"/>
        </w:rPr>
        <w:t>,</w:t>
      </w:r>
      <w:r w:rsidR="009C657F" w:rsidRPr="009C657F">
        <w:rPr>
          <w:rFonts w:cs="Arial"/>
          <w:spacing w:val="-14"/>
          <w:w w:val="80"/>
          <w:kern w:val="48"/>
        </w:rPr>
        <w:t xml:space="preserve"> εύρωστες και με ισχυρούς κεφαλαιακούς δείκτες, </w:t>
      </w:r>
      <w:r w:rsidR="005F2CEF">
        <w:rPr>
          <w:rFonts w:cs="Arial"/>
          <w:spacing w:val="-14"/>
          <w:w w:val="80"/>
          <w:kern w:val="48"/>
        </w:rPr>
        <w:t>όμως,</w:t>
      </w:r>
      <w:r w:rsidR="009C657F" w:rsidRPr="009C657F">
        <w:rPr>
          <w:rFonts w:cs="Arial"/>
          <w:spacing w:val="-14"/>
          <w:w w:val="80"/>
          <w:kern w:val="48"/>
        </w:rPr>
        <w:t xml:space="preserve"> η Κεντρική Τράπεζα οφείλει να ασκεί συστηματική εποπτεία, εντοπίζοντας ενδεχόμενες κακές πρακτικές, που απαιτούν άμεσες διορθωτικές κινήσεις. Στην παρούσα φάση</w:t>
      </w:r>
      <w:r w:rsidR="0046329E">
        <w:rPr>
          <w:rFonts w:cs="Arial"/>
          <w:spacing w:val="-14"/>
          <w:w w:val="80"/>
          <w:kern w:val="48"/>
        </w:rPr>
        <w:t>,</w:t>
      </w:r>
      <w:r w:rsidR="009C657F" w:rsidRPr="009C657F">
        <w:rPr>
          <w:rFonts w:cs="Arial"/>
          <w:spacing w:val="-14"/>
          <w:w w:val="80"/>
          <w:kern w:val="48"/>
        </w:rPr>
        <w:t xml:space="preserve"> τα κεφάλαια των κυπριακών τραπεζών είναι σε υψηλότερα ποσοστά από τα αντίστοιχα ευρωπαϊκά, ενώ τα μη εξυπηρετούμενα δάνεια επιβαρύνουν τις μικρότερες τράπεζες, που δεν έχουν δείξει τα ίδια δείγματα γραφής μείωσής τους με τα μεγάλα πιστωτικά ιδρύματα. Παράλληλα, ως συνέπεια της αύξησης των επιτοκίων</w:t>
      </w:r>
      <w:r w:rsidR="005F2CEF">
        <w:rPr>
          <w:rFonts w:cs="Arial"/>
          <w:spacing w:val="-14"/>
          <w:w w:val="80"/>
          <w:kern w:val="48"/>
        </w:rPr>
        <w:t>,</w:t>
      </w:r>
      <w:r w:rsidR="009C657F" w:rsidRPr="009C657F">
        <w:rPr>
          <w:rFonts w:cs="Arial"/>
          <w:spacing w:val="-14"/>
          <w:w w:val="80"/>
          <w:kern w:val="48"/>
        </w:rPr>
        <w:t xml:space="preserve"> από το καλοκαίρι του 2022</w:t>
      </w:r>
      <w:r w:rsidR="005F2CEF">
        <w:rPr>
          <w:rFonts w:cs="Arial"/>
          <w:spacing w:val="-14"/>
          <w:w w:val="80"/>
          <w:kern w:val="48"/>
        </w:rPr>
        <w:t>,</w:t>
      </w:r>
      <w:r w:rsidR="009C657F" w:rsidRPr="009C657F">
        <w:rPr>
          <w:rFonts w:cs="Arial"/>
          <w:spacing w:val="-14"/>
          <w:w w:val="80"/>
          <w:kern w:val="48"/>
        </w:rPr>
        <w:t xml:space="preserve"> οι τράπεζες παρουσιάζουν αυξημένη κερδοφορία, λόγω της υπερβάλλουσας ρευστότητας σε καταθέσεις στις κεντρικές τράπεζες. Η κερδοφορία θα συνεχίσει και το 2024, αλλά</w:t>
      </w:r>
      <w:r w:rsidR="0046329E">
        <w:rPr>
          <w:rFonts w:cs="Arial"/>
          <w:spacing w:val="-14"/>
          <w:w w:val="80"/>
          <w:kern w:val="48"/>
        </w:rPr>
        <w:t>,</w:t>
      </w:r>
      <w:r w:rsidR="009C657F" w:rsidRPr="009C657F">
        <w:rPr>
          <w:rFonts w:cs="Arial"/>
          <w:spacing w:val="-14"/>
          <w:w w:val="80"/>
          <w:kern w:val="48"/>
        </w:rPr>
        <w:t xml:space="preserve"> από το 2025</w:t>
      </w:r>
      <w:r w:rsidR="0046329E">
        <w:rPr>
          <w:rFonts w:cs="Arial"/>
          <w:spacing w:val="-14"/>
          <w:w w:val="80"/>
          <w:kern w:val="48"/>
        </w:rPr>
        <w:t>,</w:t>
      </w:r>
      <w:r w:rsidR="009C657F" w:rsidRPr="009C657F">
        <w:rPr>
          <w:rFonts w:cs="Arial"/>
          <w:spacing w:val="-14"/>
          <w:w w:val="80"/>
          <w:kern w:val="48"/>
        </w:rPr>
        <w:t xml:space="preserve"> θα ακολουθήσει φθίνουσα πορεία. Έτσι, αποκτά μεγαλύτερη σημασία η σωστή εκμετάλλευση της τρέχουσας θετικής συγκυρίας.</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9C657F" w:rsidRPr="009C657F">
        <w:rPr>
          <w:rFonts w:cs="Arial"/>
          <w:spacing w:val="-14"/>
          <w:w w:val="80"/>
          <w:kern w:val="48"/>
        </w:rPr>
        <w:t xml:space="preserve">Δεύτερη μεγάλη πρόκληση για τον νέο Διοικητή της Κεντρικής Τράπεζας αποτελεί το αποτύπωμα των εποπτικών μηχανισμών των τραπεζών στην κοινωνία. Την τελευταία 4ετία, η οποία χαρακτηρίστηκε από ρευστότητα στη διεθνή πολιτική σκηνή (πανδημία </w:t>
      </w:r>
      <w:r w:rsidR="009C657F" w:rsidRPr="009C657F">
        <w:rPr>
          <w:rFonts w:cs="Arial"/>
          <w:spacing w:val="-14"/>
          <w:w w:val="80"/>
          <w:kern w:val="48"/>
          <w:lang w:val="en-US"/>
        </w:rPr>
        <w:t>COVID</w:t>
      </w:r>
      <w:r w:rsidR="009C657F" w:rsidRPr="009C657F">
        <w:rPr>
          <w:rFonts w:cs="Arial"/>
          <w:spacing w:val="-14"/>
          <w:w w:val="80"/>
          <w:kern w:val="48"/>
        </w:rPr>
        <w:t xml:space="preserve"> 19, εισβολή Ρωσίας σε Ουκρανία κ.ά.) οι επόπτες σε συνεργασία με την κυβέρνηση προχώρησαν σε αποφάσεις, που σχετίζονταν με αναστολές εκποιήσεων, ακόμα και με αναστολή δόσεων δανείων για μήνες, αποφάσεις με σημαντική επιρροή και στην οικονομία, αφού σχετίζονται με τα επιτόκια και τα επίπεδα του πληθωρισμού</w:t>
      </w:r>
      <w:r w:rsidR="009C657F" w:rsidRPr="009C657F">
        <w:rPr>
          <w:rFonts w:cs="Arial"/>
          <w:b/>
          <w:spacing w:val="-14"/>
          <w:w w:val="80"/>
          <w:kern w:val="48"/>
        </w:rPr>
        <w:t xml:space="preserve">. </w:t>
      </w:r>
      <w:r w:rsidR="009C657F" w:rsidRPr="009C657F">
        <w:rPr>
          <w:rFonts w:cs="Arial"/>
          <w:spacing w:val="-14"/>
          <w:w w:val="80"/>
          <w:kern w:val="48"/>
        </w:rPr>
        <w:t>Σημαντικό ζήτημα</w:t>
      </w:r>
      <w:r w:rsidR="005F2CEF">
        <w:rPr>
          <w:rFonts w:cs="Arial"/>
          <w:spacing w:val="-14"/>
          <w:w w:val="80"/>
          <w:kern w:val="48"/>
        </w:rPr>
        <w:t>,</w:t>
      </w:r>
      <w:r w:rsidR="009C657F" w:rsidRPr="009C657F">
        <w:rPr>
          <w:rFonts w:cs="Arial"/>
          <w:spacing w:val="-14"/>
          <w:w w:val="80"/>
          <w:kern w:val="48"/>
        </w:rPr>
        <w:t xml:space="preserve"> προς ρύθμιση</w:t>
      </w:r>
      <w:r w:rsidR="005F2CEF">
        <w:rPr>
          <w:rFonts w:cs="Arial"/>
          <w:spacing w:val="-14"/>
          <w:w w:val="80"/>
          <w:kern w:val="48"/>
        </w:rPr>
        <w:t>,</w:t>
      </w:r>
      <w:r w:rsidR="009C657F" w:rsidRPr="009C657F">
        <w:rPr>
          <w:rFonts w:cs="Arial"/>
          <w:b/>
          <w:spacing w:val="-14"/>
          <w:w w:val="80"/>
          <w:kern w:val="48"/>
        </w:rPr>
        <w:t xml:space="preserve"> </w:t>
      </w:r>
      <w:r w:rsidR="009C657F" w:rsidRPr="009C657F">
        <w:rPr>
          <w:rFonts w:cs="Arial"/>
          <w:spacing w:val="-14"/>
          <w:w w:val="80"/>
          <w:kern w:val="48"/>
        </w:rPr>
        <w:t>στην κυπριακή τραπεζική πραγματικότητα αποτελεί</w:t>
      </w:r>
      <w:r w:rsidR="0046329E">
        <w:rPr>
          <w:rFonts w:cs="Arial"/>
          <w:spacing w:val="-14"/>
          <w:w w:val="80"/>
          <w:kern w:val="48"/>
        </w:rPr>
        <w:t>,</w:t>
      </w:r>
      <w:r w:rsidR="009C657F" w:rsidRPr="009C657F">
        <w:rPr>
          <w:rFonts w:cs="Arial"/>
          <w:spacing w:val="-14"/>
          <w:w w:val="80"/>
          <w:kern w:val="48"/>
        </w:rPr>
        <w:t xml:space="preserve"> </w:t>
      </w:r>
      <w:r w:rsidR="0046329E">
        <w:rPr>
          <w:rFonts w:cs="Arial"/>
          <w:spacing w:val="-14"/>
          <w:w w:val="80"/>
          <w:kern w:val="48"/>
        </w:rPr>
        <w:t>επίσης,</w:t>
      </w:r>
      <w:r w:rsidR="009C657F" w:rsidRPr="009C657F">
        <w:rPr>
          <w:rFonts w:cs="Arial"/>
          <w:spacing w:val="-14"/>
          <w:w w:val="80"/>
          <w:kern w:val="48"/>
        </w:rPr>
        <w:t xml:space="preserve"> η μεγάλη απόσταση μεταξύ δανειστικών και </w:t>
      </w:r>
      <w:proofErr w:type="spellStart"/>
      <w:r w:rsidR="009C657F" w:rsidRPr="009C657F">
        <w:rPr>
          <w:rFonts w:cs="Arial"/>
          <w:spacing w:val="-14"/>
          <w:w w:val="80"/>
          <w:kern w:val="48"/>
        </w:rPr>
        <w:t>καταθετικών</w:t>
      </w:r>
      <w:proofErr w:type="spellEnd"/>
      <w:r w:rsidR="009C657F" w:rsidRPr="009C657F">
        <w:rPr>
          <w:rFonts w:cs="Arial"/>
          <w:spacing w:val="-14"/>
          <w:w w:val="80"/>
          <w:kern w:val="48"/>
        </w:rPr>
        <w:t xml:space="preserve"> επιτοκίων και η προσπάθεια να περιορίσουν οι τράπεζες την απόσταση μεταξύ των δύο αυτών τύπων επιτοκίου.</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96184B">
        <w:rPr>
          <w:rFonts w:cs="Arial"/>
          <w:spacing w:val="-14"/>
          <w:w w:val="80"/>
          <w:kern w:val="48"/>
        </w:rPr>
        <w:t xml:space="preserve"> </w:t>
      </w:r>
      <w:r w:rsidR="0046329E">
        <w:rPr>
          <w:rFonts w:cs="Arial"/>
          <w:spacing w:val="-14"/>
          <w:w w:val="80"/>
          <w:kern w:val="48"/>
        </w:rPr>
        <w:t>Επιπρόσθετα, η</w:t>
      </w:r>
      <w:r w:rsidR="009C657F" w:rsidRPr="009C657F">
        <w:rPr>
          <w:rFonts w:cs="Arial"/>
          <w:bCs/>
          <w:spacing w:val="-14"/>
          <w:w w:val="80"/>
          <w:kern w:val="48"/>
        </w:rPr>
        <w:t xml:space="preserve"> εσωτερική λειτουργία της Κεντρικής Τράπεζας αποτελεί σημαντικό στοίχημα</w:t>
      </w:r>
      <w:r w:rsidR="009C657F" w:rsidRPr="009C657F">
        <w:rPr>
          <w:rFonts w:cs="Arial"/>
          <w:spacing w:val="-14"/>
          <w:w w:val="80"/>
          <w:kern w:val="48"/>
        </w:rPr>
        <w:t xml:space="preserve"> για τον νέο διοικητή, δεδομένου ότι</w:t>
      </w:r>
      <w:r w:rsidR="0046329E">
        <w:rPr>
          <w:rFonts w:cs="Arial"/>
          <w:spacing w:val="-14"/>
          <w:w w:val="80"/>
          <w:kern w:val="48"/>
        </w:rPr>
        <w:t>,</w:t>
      </w:r>
      <w:r w:rsidR="009C657F" w:rsidRPr="009C657F">
        <w:rPr>
          <w:rFonts w:cs="Arial"/>
          <w:spacing w:val="-14"/>
          <w:w w:val="80"/>
          <w:kern w:val="48"/>
        </w:rPr>
        <w:t xml:space="preserve"> την τελευταία 5ετία</w:t>
      </w:r>
      <w:r w:rsidR="0046329E">
        <w:rPr>
          <w:rFonts w:cs="Arial"/>
          <w:spacing w:val="-14"/>
          <w:w w:val="80"/>
          <w:kern w:val="48"/>
        </w:rPr>
        <w:t>,</w:t>
      </w:r>
      <w:r w:rsidR="009C657F" w:rsidRPr="009C657F">
        <w:rPr>
          <w:rFonts w:cs="Arial"/>
          <w:spacing w:val="-14"/>
          <w:w w:val="80"/>
          <w:kern w:val="48"/>
        </w:rPr>
        <w:t xml:space="preserve"> επί διοικήσεως του κ. Ηροδότου</w:t>
      </w:r>
      <w:r w:rsidR="0046329E">
        <w:rPr>
          <w:rFonts w:cs="Arial"/>
          <w:spacing w:val="-14"/>
          <w:w w:val="80"/>
          <w:kern w:val="48"/>
        </w:rPr>
        <w:t>,</w:t>
      </w:r>
      <w:r w:rsidR="009C657F" w:rsidRPr="009C657F">
        <w:rPr>
          <w:rFonts w:cs="Arial"/>
          <w:spacing w:val="-14"/>
          <w:w w:val="80"/>
          <w:kern w:val="48"/>
        </w:rPr>
        <w:t xml:space="preserve"> έγιναν σημαντικές τομές, οι οποίες αναμένεται να ολοκληρωθούν την τρέχουσα διετία. Το πρόβλημα λειτουργίας της Κεντρικής Τράπεζας φαίνεται ότι σχετ</w:t>
      </w:r>
      <w:r w:rsidR="0046329E">
        <w:rPr>
          <w:rFonts w:cs="Arial"/>
          <w:spacing w:val="-14"/>
          <w:w w:val="80"/>
          <w:kern w:val="48"/>
        </w:rPr>
        <w:t>ίζεται με την ανεπαρκή στελέχωσή</w:t>
      </w:r>
      <w:r w:rsidR="009C657F" w:rsidRPr="009C657F">
        <w:rPr>
          <w:rFonts w:cs="Arial"/>
          <w:spacing w:val="-14"/>
          <w:w w:val="80"/>
          <w:kern w:val="48"/>
        </w:rPr>
        <w:t xml:space="preserve"> της, αλλά και πρακτικές, που παραπέμπουν σε παρωχημένη «</w:t>
      </w:r>
      <w:proofErr w:type="spellStart"/>
      <w:r w:rsidR="009C657F" w:rsidRPr="009C657F">
        <w:rPr>
          <w:rFonts w:cs="Arial"/>
          <w:spacing w:val="-14"/>
          <w:w w:val="80"/>
          <w:kern w:val="48"/>
        </w:rPr>
        <w:t>δημοσιοϋπαλλική</w:t>
      </w:r>
      <w:proofErr w:type="spellEnd"/>
      <w:r w:rsidR="009C657F" w:rsidRPr="009C657F">
        <w:rPr>
          <w:rFonts w:cs="Arial"/>
          <w:spacing w:val="-14"/>
          <w:w w:val="80"/>
          <w:kern w:val="48"/>
        </w:rPr>
        <w:t xml:space="preserve"> νοοτροπία».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9C657F" w:rsidRPr="009C657F">
        <w:rPr>
          <w:rFonts w:cs="Arial"/>
          <w:spacing w:val="-14"/>
          <w:w w:val="80"/>
          <w:kern w:val="48"/>
        </w:rPr>
        <w:t>Τέλος</w:t>
      </w:r>
      <w:r w:rsidR="0046329E">
        <w:rPr>
          <w:rFonts w:cs="Arial"/>
          <w:spacing w:val="-14"/>
          <w:w w:val="80"/>
          <w:kern w:val="48"/>
        </w:rPr>
        <w:t>,</w:t>
      </w:r>
      <w:r w:rsidR="009C657F" w:rsidRPr="009C657F">
        <w:rPr>
          <w:rFonts w:cs="Arial"/>
          <w:spacing w:val="-14"/>
          <w:w w:val="80"/>
          <w:kern w:val="48"/>
        </w:rPr>
        <w:t xml:space="preserve"> η διατήρηση της καλής φήμης της Κύπρου φαίνεται επίσης ότι πρέπει να συνεχίσει να αποτελεί προτεραιότητα στις αποφάσεις του νέου Διοικητή της Κεντρικής Τράπεζας της Κύπρου.  Είναι χαρακτηριστικό ότι η Κεντρική Τράπεζα</w:t>
      </w:r>
      <w:r w:rsidR="005F2CEF">
        <w:rPr>
          <w:rFonts w:cs="Arial"/>
          <w:spacing w:val="-14"/>
          <w:w w:val="80"/>
          <w:kern w:val="48"/>
        </w:rPr>
        <w:t>,</w:t>
      </w:r>
      <w:r w:rsidR="009C657F" w:rsidRPr="009C657F">
        <w:rPr>
          <w:rFonts w:cs="Arial"/>
          <w:spacing w:val="-14"/>
          <w:w w:val="80"/>
          <w:kern w:val="48"/>
        </w:rPr>
        <w:t xml:space="preserve"> από το 2015</w:t>
      </w:r>
      <w:r w:rsidR="005F2CEF">
        <w:rPr>
          <w:rFonts w:cs="Arial"/>
          <w:spacing w:val="-14"/>
          <w:w w:val="80"/>
          <w:kern w:val="48"/>
        </w:rPr>
        <w:t>,</w:t>
      </w:r>
      <w:r w:rsidR="009C657F" w:rsidRPr="009C657F">
        <w:rPr>
          <w:rFonts w:cs="Arial"/>
          <w:spacing w:val="-14"/>
          <w:w w:val="80"/>
          <w:kern w:val="48"/>
        </w:rPr>
        <w:t xml:space="preserve"> συμμετέχει ενεργά στην προσπάθεια βελτίωσης της εικόνας της Κύπρου στο κεφάλαιο «ξέπλυμα χρήματος», γεγονός</w:t>
      </w:r>
      <w:r w:rsidR="0096184B">
        <w:rPr>
          <w:rFonts w:cs="Arial"/>
          <w:spacing w:val="-14"/>
          <w:w w:val="80"/>
          <w:kern w:val="48"/>
        </w:rPr>
        <w:t>,</w:t>
      </w:r>
      <w:r w:rsidR="009C657F" w:rsidRPr="009C657F">
        <w:rPr>
          <w:rFonts w:cs="Arial"/>
          <w:spacing w:val="-14"/>
          <w:w w:val="80"/>
          <w:kern w:val="48"/>
        </w:rPr>
        <w:t xml:space="preserve"> το οποίο αποτυπώνεται σταθερά στις πρόσφατες διεθνείς αξιολογήσεις.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9C657F" w:rsidRPr="009C657F">
        <w:rPr>
          <w:rFonts w:cs="Arial"/>
          <w:spacing w:val="-14"/>
          <w:w w:val="80"/>
          <w:kern w:val="48"/>
        </w:rPr>
        <w:t xml:space="preserve">Πάντως, κριτική ασκήθηκε από κόμματα της αντιπολίτευσης στον Πρόεδρο της Δημοκρατίας για την επιλογή του κ. </w:t>
      </w:r>
      <w:proofErr w:type="spellStart"/>
      <w:r w:rsidR="009C657F" w:rsidRPr="009C657F">
        <w:rPr>
          <w:rFonts w:cs="Arial"/>
          <w:spacing w:val="-14"/>
          <w:w w:val="80"/>
          <w:kern w:val="48"/>
        </w:rPr>
        <w:t>Πατσαλίδη</w:t>
      </w:r>
      <w:proofErr w:type="spellEnd"/>
      <w:r w:rsidR="009C657F" w:rsidRPr="009C657F">
        <w:rPr>
          <w:rFonts w:cs="Arial"/>
          <w:spacing w:val="-14"/>
          <w:w w:val="80"/>
          <w:kern w:val="48"/>
        </w:rPr>
        <w:t>. Συγκεκριμένα</w:t>
      </w:r>
      <w:r w:rsidR="0046329E">
        <w:rPr>
          <w:rFonts w:cs="Arial"/>
          <w:spacing w:val="-14"/>
          <w:w w:val="80"/>
          <w:kern w:val="48"/>
        </w:rPr>
        <w:t>,</w:t>
      </w:r>
      <w:r w:rsidR="009C657F" w:rsidRPr="009C657F">
        <w:rPr>
          <w:rFonts w:cs="Arial"/>
          <w:spacing w:val="-14"/>
          <w:w w:val="80"/>
          <w:kern w:val="48"/>
        </w:rPr>
        <w:t xml:space="preserve"> το ΑΚΕΛ </w:t>
      </w:r>
      <w:r w:rsidR="0046329E">
        <w:rPr>
          <w:rFonts w:cs="Arial"/>
          <w:spacing w:val="-14"/>
          <w:w w:val="80"/>
          <w:kern w:val="48"/>
        </w:rPr>
        <w:t xml:space="preserve">αναφέρει </w:t>
      </w:r>
      <w:r w:rsidR="0046329E">
        <w:rPr>
          <w:rFonts w:cs="Arial"/>
          <w:spacing w:val="-14"/>
          <w:w w:val="80"/>
          <w:kern w:val="48"/>
        </w:rPr>
        <w:lastRenderedPageBreak/>
        <w:t xml:space="preserve">ότι </w:t>
      </w:r>
      <w:r w:rsidR="009C657F" w:rsidRPr="009C657F">
        <w:rPr>
          <w:rFonts w:cs="Arial"/>
          <w:spacing w:val="-14"/>
          <w:w w:val="80"/>
          <w:kern w:val="48"/>
        </w:rPr>
        <w:t xml:space="preserve">«ο κ. Χ. </w:t>
      </w:r>
      <w:proofErr w:type="spellStart"/>
      <w:r w:rsidR="009C657F" w:rsidRPr="009C657F">
        <w:rPr>
          <w:rFonts w:cs="Arial"/>
          <w:spacing w:val="-14"/>
          <w:w w:val="80"/>
          <w:kern w:val="48"/>
        </w:rPr>
        <w:t>Πατσαλίδης</w:t>
      </w:r>
      <w:proofErr w:type="spellEnd"/>
      <w:r w:rsidR="009C657F" w:rsidRPr="009C657F">
        <w:rPr>
          <w:rFonts w:cs="Arial"/>
          <w:spacing w:val="-14"/>
          <w:w w:val="80"/>
          <w:kern w:val="48"/>
        </w:rPr>
        <w:t>, την κρίσιμη περίοδο της τραπεζικής κρίσης και των τραπεζικών σκανδάλων</w:t>
      </w:r>
      <w:r w:rsidR="0046329E">
        <w:rPr>
          <w:rFonts w:cs="Arial"/>
          <w:spacing w:val="-14"/>
          <w:w w:val="80"/>
          <w:kern w:val="48"/>
        </w:rPr>
        <w:t>,</w:t>
      </w:r>
      <w:r w:rsidR="009C657F" w:rsidRPr="009C657F">
        <w:rPr>
          <w:rFonts w:cs="Arial"/>
          <w:spacing w:val="-14"/>
          <w:w w:val="80"/>
          <w:kern w:val="48"/>
        </w:rPr>
        <w:t xml:space="preserve"> βρισκόταν στην καθοδήγηση της Τράπεζας Κύπρου. Το ιστορικό του δεν συνάδει με τα διαπιστευτήρια, που πρέπει να συνοδεύουν τον Κεντρικό Τραπεζίτη». Σε άλλο δε</w:t>
      </w:r>
      <w:r w:rsidR="005F2CEF">
        <w:rPr>
          <w:rFonts w:cs="Arial"/>
          <w:spacing w:val="-14"/>
          <w:w w:val="80"/>
          <w:kern w:val="48"/>
        </w:rPr>
        <w:t>,</w:t>
      </w:r>
      <w:r w:rsidR="009C657F" w:rsidRPr="009C657F">
        <w:rPr>
          <w:rFonts w:cs="Arial"/>
          <w:spacing w:val="-14"/>
          <w:w w:val="80"/>
          <w:kern w:val="48"/>
        </w:rPr>
        <w:t xml:space="preserve"> σημείο της ανακοίνωσης υπογραμμίζει ότι «σε έκθεση του οίκου </w:t>
      </w:r>
      <w:proofErr w:type="spellStart"/>
      <w:r w:rsidR="009C657F" w:rsidRPr="009C657F">
        <w:rPr>
          <w:rFonts w:cs="Arial"/>
          <w:spacing w:val="-14"/>
          <w:w w:val="80"/>
          <w:kern w:val="48"/>
        </w:rPr>
        <w:t>Alvarez</w:t>
      </w:r>
      <w:proofErr w:type="spellEnd"/>
      <w:r w:rsidR="009C657F" w:rsidRPr="009C657F">
        <w:rPr>
          <w:rFonts w:cs="Arial"/>
          <w:spacing w:val="-14"/>
          <w:w w:val="80"/>
          <w:kern w:val="48"/>
        </w:rPr>
        <w:t xml:space="preserve"> &amp; </w:t>
      </w:r>
      <w:proofErr w:type="spellStart"/>
      <w:r w:rsidR="009C657F" w:rsidRPr="009C657F">
        <w:rPr>
          <w:rFonts w:cs="Arial"/>
          <w:spacing w:val="-14"/>
          <w:w w:val="80"/>
          <w:kern w:val="48"/>
        </w:rPr>
        <w:t>Marsal</w:t>
      </w:r>
      <w:proofErr w:type="spellEnd"/>
      <w:r w:rsidR="009C657F" w:rsidRPr="009C657F">
        <w:rPr>
          <w:rFonts w:cs="Arial"/>
          <w:spacing w:val="-14"/>
          <w:w w:val="80"/>
          <w:kern w:val="48"/>
        </w:rPr>
        <w:t xml:space="preserve"> για την αγορά ελληνικών ομολόγων από την Τράπεζα Κύπρου</w:t>
      </w:r>
      <w:r w:rsidR="005F2CEF">
        <w:rPr>
          <w:rFonts w:cs="Arial"/>
          <w:spacing w:val="-14"/>
          <w:w w:val="80"/>
          <w:kern w:val="48"/>
        </w:rPr>
        <w:t>,</w:t>
      </w:r>
      <w:r w:rsidR="009C657F" w:rsidRPr="009C657F">
        <w:rPr>
          <w:rFonts w:cs="Arial"/>
          <w:spacing w:val="-14"/>
          <w:w w:val="80"/>
          <w:kern w:val="48"/>
        </w:rPr>
        <w:t xml:space="preserve"> την περίοδο της τραπεζικής κρίσης στην Κύπρο, αναφέρεται ότι από τον υπολογιστή του κ. </w:t>
      </w:r>
      <w:proofErr w:type="spellStart"/>
      <w:r w:rsidR="009C657F" w:rsidRPr="009C657F">
        <w:rPr>
          <w:rFonts w:cs="Arial"/>
          <w:spacing w:val="-14"/>
          <w:w w:val="80"/>
          <w:kern w:val="48"/>
        </w:rPr>
        <w:t>Πατσαλίδη</w:t>
      </w:r>
      <w:proofErr w:type="spellEnd"/>
      <w:r w:rsidR="009C657F" w:rsidRPr="009C657F">
        <w:rPr>
          <w:rFonts w:cs="Arial"/>
          <w:spacing w:val="-14"/>
          <w:w w:val="80"/>
          <w:kern w:val="48"/>
        </w:rPr>
        <w:t xml:space="preserve"> έγινε μαζική διαγραφή στοιχείων, ενώ υπήρχε εντολή από την Κεντρική Τράπεζα να μην διαγραφεί </w:t>
      </w:r>
      <w:r w:rsidR="00D53464" w:rsidRPr="009C657F">
        <w:rPr>
          <w:rFonts w:cs="Arial"/>
          <w:spacing w:val="-14"/>
          <w:w w:val="80"/>
          <w:kern w:val="48"/>
        </w:rPr>
        <w:t>ο</w:t>
      </w:r>
      <w:r w:rsidR="00D53464">
        <w:rPr>
          <w:rFonts w:cs="Arial"/>
          <w:spacing w:val="-14"/>
          <w:w w:val="80"/>
          <w:kern w:val="48"/>
        </w:rPr>
        <w:t>τ</w:t>
      </w:r>
      <w:r w:rsidR="00D53464" w:rsidRPr="009C657F">
        <w:rPr>
          <w:rFonts w:cs="Arial"/>
          <w:spacing w:val="-14"/>
          <w:w w:val="80"/>
          <w:kern w:val="48"/>
        </w:rPr>
        <w:t>ιδήποτε</w:t>
      </w:r>
      <w:r w:rsidR="009C657F" w:rsidRPr="009C657F">
        <w:rPr>
          <w:rFonts w:cs="Arial"/>
          <w:spacing w:val="-14"/>
          <w:w w:val="80"/>
          <w:kern w:val="48"/>
        </w:rPr>
        <w:t>».</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4C4036" w:rsidRDefault="006D6FFB" w:rsidP="004C4036">
      <w:pPr>
        <w:widowControl w:val="0"/>
        <w:tabs>
          <w:tab w:val="left" w:pos="284"/>
        </w:tabs>
        <w:autoSpaceDE w:val="0"/>
        <w:autoSpaceDN w:val="0"/>
        <w:adjustRightInd w:val="0"/>
        <w:spacing w:after="0" w:line="220" w:lineRule="exact"/>
        <w:ind w:left="142" w:right="57"/>
        <w:jc w:val="both"/>
        <w:outlineLvl w:val="0"/>
        <w:rPr>
          <w:rFonts w:cs="Arial"/>
          <w:b/>
          <w:color w:val="0070C0"/>
          <w:spacing w:val="-14"/>
          <w:w w:val="80"/>
          <w:kern w:val="48"/>
        </w:rPr>
      </w:pPr>
      <w:r w:rsidRPr="00B77D7A">
        <w:rPr>
          <w:rFonts w:cs="Arial"/>
          <w:b/>
          <w:color w:val="0070C0"/>
          <w:spacing w:val="-14"/>
          <w:w w:val="80"/>
          <w:kern w:val="48"/>
        </w:rPr>
        <w:t xml:space="preserve">4. ΤΕΧΝΟΛΟΓΙΑ </w:t>
      </w:r>
      <w:r w:rsidR="0003026B" w:rsidRPr="00B77D7A">
        <w:rPr>
          <w:rFonts w:cs="Arial"/>
          <w:b/>
          <w:color w:val="0070C0"/>
          <w:spacing w:val="-14"/>
          <w:w w:val="80"/>
          <w:kern w:val="48"/>
        </w:rPr>
        <w:t>–</w:t>
      </w:r>
      <w:r w:rsidRPr="00B77D7A">
        <w:rPr>
          <w:rFonts w:cs="Arial"/>
          <w:b/>
          <w:color w:val="0070C0"/>
          <w:spacing w:val="-14"/>
          <w:w w:val="80"/>
          <w:kern w:val="48"/>
        </w:rPr>
        <w:t xml:space="preserve"> ΠΛΗΡΟΦΟΡΙΚΗ</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4C4036" w:rsidRDefault="00C30918"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0070C0"/>
          <w:spacing w:val="-14"/>
          <w:w w:val="80"/>
          <w:kern w:val="48"/>
        </w:rPr>
        <w:t xml:space="preserve">4.1 </w:t>
      </w:r>
      <w:r w:rsidR="00373D41" w:rsidRPr="00B77D7A">
        <w:rPr>
          <w:rFonts w:cs="Arial"/>
          <w:b/>
          <w:bCs/>
          <w:color w:val="0070C0"/>
          <w:spacing w:val="-14"/>
          <w:w w:val="80"/>
          <w:kern w:val="48"/>
        </w:rPr>
        <w:t xml:space="preserve"> </w:t>
      </w:r>
      <w:r w:rsidR="00F82402" w:rsidRPr="00B77D7A">
        <w:rPr>
          <w:rFonts w:cs="Arial"/>
          <w:b/>
          <w:bCs/>
          <w:color w:val="0070C0"/>
          <w:spacing w:val="-14"/>
          <w:w w:val="80"/>
          <w:kern w:val="48"/>
        </w:rPr>
        <w:t xml:space="preserve">Σύσταση Εθνικού Οργανισμού Ανάπτυξης Επιχειρήσεων - Χρηματοδοτικές ευκαιρίες στην Κύπρο στον τομέα της Καινοτομίας.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F82402" w:rsidRPr="00A36633">
        <w:rPr>
          <w:rFonts w:cs="Arial"/>
          <w:bCs/>
          <w:spacing w:val="-14"/>
          <w:w w:val="80"/>
          <w:kern w:val="48"/>
        </w:rPr>
        <w:t>Σειρά μέτρων</w:t>
      </w:r>
      <w:r w:rsidR="003806CD">
        <w:rPr>
          <w:rFonts w:cs="Arial"/>
          <w:bCs/>
          <w:spacing w:val="-14"/>
          <w:w w:val="80"/>
          <w:kern w:val="48"/>
        </w:rPr>
        <w:t>,</w:t>
      </w:r>
      <w:r w:rsidR="00F82402" w:rsidRPr="00A36633">
        <w:rPr>
          <w:rFonts w:cs="Arial"/>
          <w:bCs/>
          <w:spacing w:val="-14"/>
          <w:w w:val="80"/>
          <w:kern w:val="48"/>
        </w:rPr>
        <w:t xml:space="preserve"> με στόχο τη διευκόλυνση της χρηματοδότησης μικρομεσαίων και</w:t>
      </w:r>
      <w:r>
        <w:rPr>
          <w:rFonts w:cs="Arial"/>
          <w:bCs/>
          <w:spacing w:val="-14"/>
          <w:w w:val="80"/>
          <w:kern w:val="48"/>
        </w:rPr>
        <w:t xml:space="preserve">  ν</w:t>
      </w:r>
      <w:r w:rsidR="00F82402" w:rsidRPr="00A36633">
        <w:rPr>
          <w:rFonts w:cs="Arial"/>
          <w:bCs/>
          <w:spacing w:val="-14"/>
          <w:w w:val="80"/>
          <w:kern w:val="48"/>
        </w:rPr>
        <w:t>εοφυών επιχειρήσεων ενέκρ</w:t>
      </w:r>
      <w:r w:rsidR="003806CD">
        <w:rPr>
          <w:rFonts w:cs="Arial"/>
          <w:bCs/>
          <w:spacing w:val="-14"/>
          <w:w w:val="80"/>
          <w:kern w:val="48"/>
        </w:rPr>
        <w:t>ινε το κ/</w:t>
      </w:r>
      <w:r w:rsidR="00F82402" w:rsidRPr="00A36633">
        <w:rPr>
          <w:rFonts w:cs="Arial"/>
          <w:bCs/>
          <w:spacing w:val="-14"/>
          <w:w w:val="80"/>
          <w:kern w:val="48"/>
        </w:rPr>
        <w:t>Υπουργικό Συμβούλιο</w:t>
      </w:r>
      <w:r w:rsidR="003806CD">
        <w:rPr>
          <w:rFonts w:cs="Arial"/>
          <w:bCs/>
          <w:spacing w:val="-14"/>
          <w:w w:val="80"/>
          <w:kern w:val="48"/>
        </w:rPr>
        <w:t>,</w:t>
      </w:r>
      <w:r w:rsidR="00F82402" w:rsidRPr="00A36633">
        <w:rPr>
          <w:rFonts w:cs="Arial"/>
          <w:bCs/>
          <w:spacing w:val="-14"/>
          <w:w w:val="80"/>
          <w:kern w:val="48"/>
        </w:rPr>
        <w:t xml:space="preserve"> στις 7.2. </w:t>
      </w:r>
      <w:proofErr w:type="spellStart"/>
      <w:r w:rsidR="00F82402" w:rsidRPr="00A36633">
        <w:rPr>
          <w:rFonts w:cs="Arial"/>
          <w:bCs/>
          <w:spacing w:val="-14"/>
          <w:w w:val="80"/>
          <w:kern w:val="48"/>
        </w:rPr>
        <w:t>τ.έ</w:t>
      </w:r>
      <w:proofErr w:type="spellEnd"/>
      <w:r w:rsidR="00F82402" w:rsidRPr="00A36633">
        <w:rPr>
          <w:rFonts w:cs="Arial"/>
          <w:bCs/>
          <w:spacing w:val="-14"/>
          <w:w w:val="80"/>
          <w:kern w:val="48"/>
        </w:rPr>
        <w:t>.</w:t>
      </w:r>
      <w:r w:rsidR="003806CD">
        <w:rPr>
          <w:rFonts w:cs="Arial"/>
          <w:bCs/>
          <w:spacing w:val="-14"/>
          <w:w w:val="80"/>
          <w:kern w:val="48"/>
        </w:rPr>
        <w:t>,</w:t>
      </w:r>
      <w:r w:rsidR="00F82402" w:rsidRPr="00A36633">
        <w:rPr>
          <w:rFonts w:cs="Arial"/>
          <w:bCs/>
          <w:spacing w:val="-14"/>
          <w:w w:val="80"/>
          <w:kern w:val="48"/>
        </w:rPr>
        <w:t xml:space="preserve"> προχωρώντας</w:t>
      </w:r>
      <w:r w:rsidR="0046329E">
        <w:rPr>
          <w:rFonts w:cs="Arial"/>
          <w:bCs/>
          <w:spacing w:val="-14"/>
          <w:w w:val="80"/>
          <w:kern w:val="48"/>
        </w:rPr>
        <w:t>,</w:t>
      </w:r>
      <w:r w:rsidR="00F82402" w:rsidRPr="00A36633">
        <w:rPr>
          <w:rFonts w:cs="Arial"/>
          <w:bCs/>
          <w:spacing w:val="-14"/>
          <w:w w:val="80"/>
          <w:kern w:val="48"/>
        </w:rPr>
        <w:t xml:space="preserve"> ταυτόχρονα</w:t>
      </w:r>
      <w:r w:rsidR="0046329E">
        <w:rPr>
          <w:rFonts w:cs="Arial"/>
          <w:bCs/>
          <w:spacing w:val="-14"/>
          <w:w w:val="80"/>
          <w:kern w:val="48"/>
        </w:rPr>
        <w:t>,</w:t>
      </w:r>
      <w:r w:rsidR="00F82402" w:rsidRPr="00A36633">
        <w:rPr>
          <w:rFonts w:cs="Arial"/>
          <w:bCs/>
          <w:spacing w:val="-14"/>
          <w:w w:val="80"/>
          <w:kern w:val="48"/>
        </w:rPr>
        <w:t xml:space="preserve"> και σε αλλαγές στη στρατηγική προσέλκυσης ξένων επιχειρήσεων για να διατηρηθεί η θετική συνεισφ</w:t>
      </w:r>
      <w:r w:rsidR="0046329E">
        <w:rPr>
          <w:rFonts w:cs="Arial"/>
          <w:bCs/>
          <w:spacing w:val="-14"/>
          <w:w w:val="80"/>
          <w:kern w:val="48"/>
        </w:rPr>
        <w:t>ορά της παρουσίας τους στην κ/</w:t>
      </w:r>
      <w:r w:rsidR="00F82402" w:rsidRPr="00A36633">
        <w:rPr>
          <w:rFonts w:cs="Arial"/>
          <w:bCs/>
          <w:spacing w:val="-14"/>
          <w:w w:val="80"/>
          <w:kern w:val="48"/>
        </w:rPr>
        <w:t xml:space="preserve">οικονομία.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rFonts w:cs="Arial"/>
          <w:bCs/>
          <w:spacing w:val="-14"/>
          <w:w w:val="80"/>
          <w:kern w:val="48"/>
        </w:rPr>
      </w:pPr>
      <w:r>
        <w:rPr>
          <w:b/>
          <w:color w:val="0070C0"/>
          <w:spacing w:val="-14"/>
          <w:w w:val="80"/>
          <w:kern w:val="48"/>
        </w:rPr>
        <w:t xml:space="preserve">      </w:t>
      </w:r>
      <w:r w:rsidR="00F82402" w:rsidRPr="00A36633">
        <w:rPr>
          <w:rFonts w:cs="Arial"/>
          <w:bCs/>
          <w:spacing w:val="-14"/>
          <w:w w:val="80"/>
          <w:kern w:val="48"/>
        </w:rPr>
        <w:t>Συγκεκριμένα, όπως ανέφερε ο Υπουργός Οικονομικών κ. Μ. Κεραυνός</w:t>
      </w:r>
      <w:r w:rsidR="0046329E">
        <w:rPr>
          <w:rFonts w:cs="Arial"/>
          <w:bCs/>
          <w:spacing w:val="-14"/>
          <w:w w:val="80"/>
          <w:kern w:val="48"/>
        </w:rPr>
        <w:t>,</w:t>
      </w:r>
      <w:r w:rsidR="00F82402" w:rsidRPr="00A36633">
        <w:rPr>
          <w:rFonts w:cs="Arial"/>
          <w:bCs/>
          <w:spacing w:val="-14"/>
          <w:w w:val="80"/>
          <w:kern w:val="48"/>
        </w:rPr>
        <w:t xml:space="preserve"> έως το τέλος Μαρτίου </w:t>
      </w:r>
      <w:proofErr w:type="spellStart"/>
      <w:r w:rsidR="00F82402" w:rsidRPr="00A36633">
        <w:rPr>
          <w:rFonts w:cs="Arial"/>
          <w:bCs/>
          <w:spacing w:val="-14"/>
          <w:w w:val="80"/>
          <w:kern w:val="48"/>
        </w:rPr>
        <w:t>τ.έ</w:t>
      </w:r>
      <w:proofErr w:type="spellEnd"/>
      <w:r w:rsidR="00F82402" w:rsidRPr="00A36633">
        <w:rPr>
          <w:rFonts w:cs="Arial"/>
          <w:bCs/>
          <w:spacing w:val="-14"/>
          <w:w w:val="80"/>
          <w:kern w:val="48"/>
        </w:rPr>
        <w:t>.</w:t>
      </w:r>
      <w:r w:rsidR="0046329E">
        <w:rPr>
          <w:rFonts w:cs="Arial"/>
          <w:bCs/>
          <w:spacing w:val="-14"/>
          <w:w w:val="80"/>
          <w:kern w:val="48"/>
        </w:rPr>
        <w:t>,</w:t>
      </w:r>
      <w:r w:rsidR="00F82402" w:rsidRPr="00A36633">
        <w:rPr>
          <w:rFonts w:cs="Arial"/>
          <w:bCs/>
          <w:spacing w:val="-14"/>
          <w:w w:val="80"/>
          <w:kern w:val="48"/>
        </w:rPr>
        <w:t xml:space="preserve"> αναμένεται να τεθεί σε πλήρη λειτουργία το Ταμείο Χρηματοδότησης Κεφαλαίου (</w:t>
      </w:r>
      <w:proofErr w:type="spellStart"/>
      <w:r w:rsidR="00F82402" w:rsidRPr="00A36633">
        <w:rPr>
          <w:rFonts w:cs="Arial"/>
          <w:bCs/>
          <w:spacing w:val="-14"/>
          <w:w w:val="80"/>
          <w:kern w:val="48"/>
        </w:rPr>
        <w:t>Equity</w:t>
      </w:r>
      <w:proofErr w:type="spellEnd"/>
      <w:r w:rsidR="00F82402" w:rsidRPr="00A36633">
        <w:rPr>
          <w:rFonts w:cs="Arial"/>
          <w:bCs/>
          <w:spacing w:val="-14"/>
          <w:w w:val="80"/>
          <w:kern w:val="48"/>
        </w:rPr>
        <w:t xml:space="preserve"> </w:t>
      </w:r>
      <w:proofErr w:type="spellStart"/>
      <w:r w:rsidR="00F82402" w:rsidRPr="00A36633">
        <w:rPr>
          <w:rFonts w:cs="Arial"/>
          <w:bCs/>
          <w:spacing w:val="-14"/>
          <w:w w:val="80"/>
          <w:kern w:val="48"/>
        </w:rPr>
        <w:t>Fund</w:t>
      </w:r>
      <w:proofErr w:type="spellEnd"/>
      <w:r w:rsidR="00F82402" w:rsidRPr="00A36633">
        <w:rPr>
          <w:rFonts w:cs="Arial"/>
          <w:bCs/>
          <w:spacing w:val="-14"/>
          <w:w w:val="80"/>
          <w:kern w:val="48"/>
        </w:rPr>
        <w:t>) ενώ, τον ίδιο μήνα</w:t>
      </w:r>
      <w:r w:rsidR="0046329E">
        <w:rPr>
          <w:rFonts w:cs="Arial"/>
          <w:bCs/>
          <w:spacing w:val="-14"/>
          <w:w w:val="80"/>
          <w:kern w:val="48"/>
        </w:rPr>
        <w:t>,</w:t>
      </w:r>
      <w:r w:rsidR="00F82402" w:rsidRPr="00A36633">
        <w:rPr>
          <w:rFonts w:cs="Arial"/>
          <w:bCs/>
          <w:spacing w:val="-14"/>
          <w:w w:val="80"/>
          <w:kern w:val="48"/>
        </w:rPr>
        <w:t xml:space="preserve"> αναμένεται να εγκριθεί πρόταση για σύσταση Εθνικού Οργανισμού Ανάπτυξης Επιχειρήσεων. Ο συνδυασμός των δύο επιδιώκει να καλύψει κενά, που παρατηρούνται στη χρηματοδότηση μικρομεσαίων και νεοφυών επιχειρήσεων. Αναφορά στον Εθνικό Οργανισμό Ανάπτυξης έκανε και ο Πρόεδρος της Κυπριακής Δημοκρατίας κ. Ν. Χριστοδουλίδης, κατά την παρουσίαση του κυβερνητικού προγράμματος</w:t>
      </w:r>
      <w:r w:rsidR="0046329E">
        <w:rPr>
          <w:rFonts w:cs="Arial"/>
          <w:bCs/>
          <w:spacing w:val="-14"/>
          <w:w w:val="80"/>
          <w:kern w:val="48"/>
        </w:rPr>
        <w:t>,</w:t>
      </w:r>
      <w:r>
        <w:rPr>
          <w:rFonts w:cs="Arial"/>
          <w:bCs/>
          <w:spacing w:val="-14"/>
          <w:w w:val="80"/>
          <w:kern w:val="48"/>
        </w:rPr>
        <w:t xml:space="preserve"> για το τρέχον έτος.</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rFonts w:cs="Arial"/>
          <w:bCs/>
          <w:spacing w:val="-14"/>
          <w:w w:val="80"/>
          <w:kern w:val="48"/>
        </w:rPr>
        <w:t xml:space="preserve">      </w:t>
      </w:r>
      <w:r w:rsidR="00F82402" w:rsidRPr="00A36633">
        <w:rPr>
          <w:rFonts w:cs="Arial"/>
          <w:bCs/>
          <w:spacing w:val="-14"/>
          <w:w w:val="80"/>
          <w:kern w:val="48"/>
        </w:rPr>
        <w:t xml:space="preserve"> Για το θέμα του υπό σύσταση Οργανισμού</w:t>
      </w:r>
      <w:r w:rsidR="0046329E">
        <w:rPr>
          <w:rFonts w:cs="Arial"/>
          <w:bCs/>
          <w:spacing w:val="-14"/>
          <w:w w:val="80"/>
          <w:kern w:val="48"/>
        </w:rPr>
        <w:t>,</w:t>
      </w:r>
      <w:r w:rsidR="00F82402" w:rsidRPr="00A36633">
        <w:rPr>
          <w:rFonts w:cs="Arial"/>
          <w:bCs/>
          <w:spacing w:val="-14"/>
          <w:w w:val="80"/>
          <w:kern w:val="48"/>
        </w:rPr>
        <w:t xml:space="preserve"> ο κ. Κεραυνός ανέφερε πως, έχει ήδη ανατεθεί σε συμβουλευτικό οίκο η διενέργεια μελέτης για</w:t>
      </w:r>
      <w:r w:rsidR="003806CD">
        <w:rPr>
          <w:rFonts w:cs="Arial"/>
          <w:bCs/>
          <w:spacing w:val="-14"/>
          <w:w w:val="80"/>
          <w:kern w:val="48"/>
        </w:rPr>
        <w:t xml:space="preserve"> να</w:t>
      </w:r>
      <w:r w:rsidR="00F82402" w:rsidRPr="00A36633">
        <w:rPr>
          <w:rFonts w:cs="Arial"/>
          <w:bCs/>
          <w:spacing w:val="-14"/>
          <w:w w:val="80"/>
          <w:kern w:val="48"/>
        </w:rPr>
        <w:t xml:space="preserve"> σχεδιασθούν οι δραστηριότητες και τα εργαλεία του, με στόχο η σχετική πρόταση να υποβληθεί στο Υπουργικό Συμβούλιο</w:t>
      </w:r>
      <w:r w:rsidR="0046329E">
        <w:rPr>
          <w:rFonts w:cs="Arial"/>
          <w:bCs/>
          <w:spacing w:val="-14"/>
          <w:w w:val="80"/>
          <w:kern w:val="48"/>
        </w:rPr>
        <w:t>,</w:t>
      </w:r>
      <w:r w:rsidR="00F82402" w:rsidRPr="00A36633">
        <w:rPr>
          <w:rFonts w:cs="Arial"/>
          <w:bCs/>
          <w:spacing w:val="-14"/>
          <w:w w:val="80"/>
          <w:kern w:val="48"/>
        </w:rPr>
        <w:t xml:space="preserve"> τον Μάρτιο </w:t>
      </w:r>
      <w:proofErr w:type="spellStart"/>
      <w:r w:rsidR="00F82402" w:rsidRPr="00A36633">
        <w:rPr>
          <w:rFonts w:cs="Arial"/>
          <w:bCs/>
          <w:spacing w:val="-14"/>
          <w:w w:val="80"/>
          <w:kern w:val="48"/>
        </w:rPr>
        <w:t>τ.έ</w:t>
      </w:r>
      <w:proofErr w:type="spellEnd"/>
      <w:r w:rsidR="00F82402" w:rsidRPr="00A36633">
        <w:rPr>
          <w:rFonts w:cs="Arial"/>
          <w:bCs/>
          <w:spacing w:val="-14"/>
          <w:w w:val="80"/>
          <w:kern w:val="48"/>
        </w:rPr>
        <w:t>.</w:t>
      </w:r>
      <w:r w:rsidR="0046329E">
        <w:rPr>
          <w:rFonts w:cs="Arial"/>
          <w:bCs/>
          <w:spacing w:val="-14"/>
          <w:w w:val="80"/>
          <w:kern w:val="48"/>
        </w:rPr>
        <w:t>.</w:t>
      </w:r>
      <w:r w:rsidR="00F82402" w:rsidRPr="00A36633">
        <w:rPr>
          <w:rFonts w:cs="Arial"/>
          <w:bCs/>
          <w:spacing w:val="-14"/>
          <w:w w:val="80"/>
          <w:kern w:val="48"/>
        </w:rPr>
        <w:t xml:space="preserve"> Συμπλήρωσε</w:t>
      </w:r>
      <w:r w:rsidR="0046329E">
        <w:rPr>
          <w:rFonts w:cs="Arial"/>
          <w:bCs/>
          <w:spacing w:val="-14"/>
          <w:w w:val="80"/>
          <w:kern w:val="48"/>
        </w:rPr>
        <w:t xml:space="preserve"> δε,</w:t>
      </w:r>
      <w:r w:rsidR="00F82402" w:rsidRPr="00A36633">
        <w:rPr>
          <w:rFonts w:cs="Arial"/>
          <w:bCs/>
          <w:spacing w:val="-14"/>
          <w:w w:val="80"/>
          <w:kern w:val="48"/>
        </w:rPr>
        <w:t xml:space="preserve"> ότι ο Εθνικός Οργανισμός Ανάπτυξης είναι αποτέλεσμα της διαπίστωσης κενών στη χρηματοδότηση των μικρομεσαίων και των νεοφυών επιχειρήσεων</w:t>
      </w:r>
      <w:r w:rsidR="0046329E">
        <w:rPr>
          <w:rFonts w:cs="Arial"/>
          <w:bCs/>
          <w:spacing w:val="-14"/>
          <w:w w:val="80"/>
          <w:kern w:val="48"/>
        </w:rPr>
        <w:t xml:space="preserve"> καθώς και </w:t>
      </w:r>
      <w:r w:rsidR="00F82402" w:rsidRPr="00A36633">
        <w:rPr>
          <w:rFonts w:cs="Arial"/>
          <w:bCs/>
          <w:spacing w:val="-14"/>
          <w:w w:val="80"/>
          <w:kern w:val="48"/>
        </w:rPr>
        <w:t>ότι</w:t>
      </w:r>
      <w:r w:rsidR="003806CD">
        <w:rPr>
          <w:rFonts w:cs="Arial"/>
          <w:bCs/>
          <w:spacing w:val="-14"/>
          <w:w w:val="80"/>
          <w:kern w:val="48"/>
        </w:rPr>
        <w:t>,</w:t>
      </w:r>
      <w:r w:rsidR="00F82402" w:rsidRPr="00A36633">
        <w:rPr>
          <w:rFonts w:cs="Arial"/>
          <w:bCs/>
          <w:spacing w:val="-14"/>
          <w:w w:val="80"/>
          <w:kern w:val="48"/>
        </w:rPr>
        <w:t xml:space="preserve"> εντός του πρώτου τριμήνου </w:t>
      </w:r>
      <w:proofErr w:type="spellStart"/>
      <w:r w:rsidR="00F82402" w:rsidRPr="00A36633">
        <w:rPr>
          <w:rFonts w:cs="Arial"/>
          <w:bCs/>
          <w:spacing w:val="-14"/>
          <w:w w:val="80"/>
          <w:kern w:val="48"/>
        </w:rPr>
        <w:t>τ.έ</w:t>
      </w:r>
      <w:proofErr w:type="spellEnd"/>
      <w:r w:rsidR="00F82402" w:rsidRPr="00A36633">
        <w:rPr>
          <w:rFonts w:cs="Arial"/>
          <w:bCs/>
          <w:spacing w:val="-14"/>
          <w:w w:val="80"/>
          <w:kern w:val="48"/>
        </w:rPr>
        <w:t>.</w:t>
      </w:r>
      <w:r w:rsidR="003806CD">
        <w:rPr>
          <w:rFonts w:cs="Arial"/>
          <w:bCs/>
          <w:spacing w:val="-14"/>
          <w:w w:val="80"/>
          <w:kern w:val="48"/>
        </w:rPr>
        <w:t>,</w:t>
      </w:r>
      <w:r w:rsidR="00F82402" w:rsidRPr="00A36633">
        <w:rPr>
          <w:rFonts w:cs="Arial"/>
          <w:bCs/>
          <w:spacing w:val="-14"/>
          <w:w w:val="80"/>
          <w:kern w:val="48"/>
        </w:rPr>
        <w:t xml:space="preserve"> θα τεθεί σε πλήρη λειτουργία και το Κυπριακό Ταμείο Χρηματοδότησης Κεφαλαίου (</w:t>
      </w:r>
      <w:proofErr w:type="spellStart"/>
      <w:r w:rsidR="00F82402" w:rsidRPr="00A36633">
        <w:rPr>
          <w:rFonts w:cs="Arial"/>
          <w:bCs/>
          <w:spacing w:val="-14"/>
          <w:w w:val="80"/>
          <w:kern w:val="48"/>
        </w:rPr>
        <w:t>equity</w:t>
      </w:r>
      <w:proofErr w:type="spellEnd"/>
      <w:r w:rsidR="00F82402" w:rsidRPr="00A36633">
        <w:rPr>
          <w:rFonts w:cs="Arial"/>
          <w:bCs/>
          <w:spacing w:val="-14"/>
          <w:w w:val="80"/>
          <w:kern w:val="48"/>
        </w:rPr>
        <w:t xml:space="preserve"> </w:t>
      </w:r>
      <w:proofErr w:type="spellStart"/>
      <w:r w:rsidR="00F82402" w:rsidRPr="00A36633">
        <w:rPr>
          <w:rFonts w:cs="Arial"/>
          <w:bCs/>
          <w:spacing w:val="-14"/>
          <w:w w:val="80"/>
          <w:kern w:val="48"/>
        </w:rPr>
        <w:t>fund</w:t>
      </w:r>
      <w:proofErr w:type="spellEnd"/>
      <w:r w:rsidR="00F82402" w:rsidRPr="00A36633">
        <w:rPr>
          <w:rFonts w:cs="Arial"/>
          <w:bCs/>
          <w:spacing w:val="-14"/>
          <w:w w:val="80"/>
          <w:kern w:val="48"/>
        </w:rPr>
        <w:t xml:space="preserve">). </w:t>
      </w:r>
      <w:r w:rsidR="0046329E">
        <w:rPr>
          <w:rFonts w:cs="Arial"/>
          <w:bCs/>
          <w:spacing w:val="-14"/>
          <w:w w:val="80"/>
          <w:kern w:val="48"/>
        </w:rPr>
        <w:t xml:space="preserve"> </w:t>
      </w:r>
      <w:r w:rsidR="00F82402" w:rsidRPr="00A36633">
        <w:rPr>
          <w:rFonts w:cs="Arial"/>
          <w:bCs/>
          <w:spacing w:val="-14"/>
          <w:w w:val="80"/>
          <w:kern w:val="48"/>
        </w:rPr>
        <w:t>Η διαχείριση του Ταμείου έχει ανατεθεί στο Ευρωπαϊκό Ταμείο Επενδύσεων της Ευρωπαϊκής Τράπεζας Επενδύσεων (</w:t>
      </w:r>
      <w:proofErr w:type="spellStart"/>
      <w:r w:rsidR="00F82402" w:rsidRPr="00A36633">
        <w:rPr>
          <w:rFonts w:cs="Arial"/>
          <w:bCs/>
          <w:spacing w:val="-14"/>
          <w:w w:val="80"/>
          <w:kern w:val="48"/>
        </w:rPr>
        <w:t>ΕΤΕπ</w:t>
      </w:r>
      <w:proofErr w:type="spellEnd"/>
      <w:r w:rsidR="00F82402" w:rsidRPr="00A36633">
        <w:rPr>
          <w:rFonts w:cs="Arial"/>
          <w:bCs/>
          <w:spacing w:val="-14"/>
          <w:w w:val="80"/>
          <w:kern w:val="48"/>
        </w:rPr>
        <w:t>). Το Ταμείο θα επενδύει</w:t>
      </w:r>
      <w:r w:rsidR="003806CD">
        <w:rPr>
          <w:rFonts w:cs="Arial"/>
          <w:bCs/>
          <w:spacing w:val="-14"/>
          <w:w w:val="80"/>
          <w:kern w:val="48"/>
        </w:rPr>
        <w:t>,</w:t>
      </w:r>
      <w:r w:rsidR="00F82402" w:rsidRPr="00A36633">
        <w:rPr>
          <w:rFonts w:cs="Arial"/>
          <w:bCs/>
          <w:spacing w:val="-14"/>
          <w:w w:val="80"/>
          <w:kern w:val="48"/>
        </w:rPr>
        <w:t xml:space="preserve"> κυρίω</w:t>
      </w:r>
      <w:r w:rsidR="003806CD">
        <w:rPr>
          <w:rFonts w:cs="Arial"/>
          <w:bCs/>
          <w:spacing w:val="-14"/>
          <w:w w:val="80"/>
          <w:kern w:val="48"/>
        </w:rPr>
        <w:t>ς σε νεοφυείς και καινοτόμες κ/</w:t>
      </w:r>
      <w:r w:rsidR="00F82402" w:rsidRPr="00A36633">
        <w:rPr>
          <w:rFonts w:cs="Arial"/>
          <w:bCs/>
          <w:spacing w:val="-14"/>
          <w:w w:val="80"/>
          <w:kern w:val="48"/>
        </w:rPr>
        <w:t xml:space="preserve">επιχειρήσεις, με στόχο την κάλυψη των χρηματοδοτικών κενών της αγοράς, λόγω του υψηλού επενδυτικού ρίσκου, που έχουν αυτές οι νεοφυείς εταιρείες.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F82402" w:rsidRPr="00A36633">
        <w:rPr>
          <w:rFonts w:cs="Arial"/>
          <w:bCs/>
          <w:spacing w:val="-14"/>
          <w:w w:val="80"/>
          <w:kern w:val="48"/>
        </w:rPr>
        <w:t>Επιπρόσθετα, το Υπουργικό Συμβούλιο προχώρησε</w:t>
      </w:r>
      <w:r w:rsidR="0046329E">
        <w:rPr>
          <w:rFonts w:cs="Arial"/>
          <w:bCs/>
          <w:spacing w:val="-14"/>
          <w:w w:val="80"/>
          <w:kern w:val="48"/>
        </w:rPr>
        <w:t>,</w:t>
      </w:r>
      <w:r w:rsidR="00F82402" w:rsidRPr="00A36633">
        <w:rPr>
          <w:rFonts w:cs="Arial"/>
          <w:bCs/>
          <w:spacing w:val="-14"/>
          <w:w w:val="80"/>
          <w:kern w:val="48"/>
        </w:rPr>
        <w:t xml:space="preserve"> αρχές Φεβρουαρίου </w:t>
      </w:r>
      <w:proofErr w:type="spellStart"/>
      <w:r w:rsidR="00F82402" w:rsidRPr="00A36633">
        <w:rPr>
          <w:rFonts w:cs="Arial"/>
          <w:bCs/>
          <w:spacing w:val="-14"/>
          <w:w w:val="80"/>
          <w:kern w:val="48"/>
        </w:rPr>
        <w:t>τ.έ</w:t>
      </w:r>
      <w:proofErr w:type="spellEnd"/>
      <w:r w:rsidR="00F82402" w:rsidRPr="00A36633">
        <w:rPr>
          <w:rFonts w:cs="Arial"/>
          <w:bCs/>
          <w:spacing w:val="-14"/>
          <w:w w:val="80"/>
          <w:kern w:val="48"/>
        </w:rPr>
        <w:t>.</w:t>
      </w:r>
      <w:r w:rsidR="0046329E">
        <w:rPr>
          <w:rFonts w:cs="Arial"/>
          <w:bCs/>
          <w:spacing w:val="-14"/>
          <w:w w:val="80"/>
          <w:kern w:val="48"/>
        </w:rPr>
        <w:t>,</w:t>
      </w:r>
      <w:r w:rsidR="00F82402" w:rsidRPr="00A36633">
        <w:rPr>
          <w:rFonts w:cs="Arial"/>
          <w:bCs/>
          <w:spacing w:val="-14"/>
          <w:w w:val="80"/>
          <w:kern w:val="48"/>
        </w:rPr>
        <w:t xml:space="preserve"> σε αναθεώρηση της στρατηγικής προσέλκυσης ξένων επιχειρήσεων, με στόχο την περαιτέρω ανάπτυξη των επιχειρήσεων αυτών, οι οποίες, δημιουργούν νέες θέσεις εργασίας, τεχνογνωσία και προστιθέμενη αξία στην οικονομία. Σύμφωνα πάντα με τον κ. Κεραυνό</w:t>
      </w:r>
      <w:r w:rsidR="0046329E">
        <w:rPr>
          <w:rFonts w:cs="Arial"/>
          <w:bCs/>
          <w:spacing w:val="-14"/>
          <w:w w:val="80"/>
          <w:kern w:val="48"/>
        </w:rPr>
        <w:t>,</w:t>
      </w:r>
      <w:r w:rsidR="00F82402" w:rsidRPr="00A36633">
        <w:rPr>
          <w:rFonts w:cs="Arial"/>
          <w:bCs/>
          <w:spacing w:val="-14"/>
          <w:w w:val="80"/>
          <w:kern w:val="48"/>
        </w:rPr>
        <w:t xml:space="preserve"> οι νέες δράσεις που έχουν ενταχθεί στην στρατηγική και θα προωθηθούν από τα αρμόδια Υπουργεία, αφορούν στην αναθεώρηση της διάρκειας ισχύος των αδειών παραμονής αυτών των εταιρειών, ενώ παράλληλα προωθείται η έκδοση θεώρησης εισόδου για επισκέπτες</w:t>
      </w:r>
      <w:r w:rsidR="0046329E">
        <w:rPr>
          <w:rFonts w:cs="Arial"/>
          <w:bCs/>
          <w:spacing w:val="-14"/>
          <w:w w:val="80"/>
          <w:kern w:val="48"/>
        </w:rPr>
        <w:t>,</w:t>
      </w:r>
      <w:r w:rsidR="00F82402" w:rsidRPr="00A36633">
        <w:rPr>
          <w:rFonts w:cs="Arial"/>
          <w:bCs/>
          <w:spacing w:val="-14"/>
          <w:w w:val="80"/>
          <w:kern w:val="48"/>
        </w:rPr>
        <w:t xml:space="preserve"> με σκοπό ταξιδιού (</w:t>
      </w:r>
      <w:proofErr w:type="spellStart"/>
      <w:r w:rsidR="00F82402" w:rsidRPr="00A36633">
        <w:rPr>
          <w:rFonts w:cs="Arial"/>
          <w:bCs/>
          <w:spacing w:val="-14"/>
          <w:w w:val="80"/>
          <w:kern w:val="48"/>
        </w:rPr>
        <w:t>visa</w:t>
      </w:r>
      <w:proofErr w:type="spellEnd"/>
      <w:r w:rsidR="00F82402" w:rsidRPr="00A36633">
        <w:rPr>
          <w:rFonts w:cs="Arial"/>
          <w:bCs/>
          <w:spacing w:val="-14"/>
          <w:w w:val="80"/>
          <w:kern w:val="48"/>
        </w:rPr>
        <w:t xml:space="preserve"> </w:t>
      </w:r>
      <w:proofErr w:type="spellStart"/>
      <w:r w:rsidR="00F82402" w:rsidRPr="00A36633">
        <w:rPr>
          <w:rFonts w:cs="Arial"/>
          <w:bCs/>
          <w:spacing w:val="-14"/>
          <w:w w:val="80"/>
          <w:kern w:val="48"/>
        </w:rPr>
        <w:t>card</w:t>
      </w:r>
      <w:proofErr w:type="spellEnd"/>
      <w:r w:rsidR="00F82402" w:rsidRPr="00A36633">
        <w:rPr>
          <w:rFonts w:cs="Arial"/>
          <w:bCs/>
          <w:spacing w:val="-14"/>
          <w:w w:val="80"/>
          <w:kern w:val="48"/>
        </w:rPr>
        <w:t xml:space="preserve"> </w:t>
      </w:r>
      <w:proofErr w:type="spellStart"/>
      <w:r w:rsidR="00F82402" w:rsidRPr="00A36633">
        <w:rPr>
          <w:rFonts w:cs="Arial"/>
          <w:bCs/>
          <w:spacing w:val="-14"/>
          <w:w w:val="80"/>
          <w:kern w:val="48"/>
        </w:rPr>
        <w:t>business</w:t>
      </w:r>
      <w:proofErr w:type="spellEnd"/>
      <w:r w:rsidR="00F82402" w:rsidRPr="00A36633">
        <w:rPr>
          <w:rFonts w:cs="Arial"/>
          <w:bCs/>
          <w:spacing w:val="-14"/>
          <w:w w:val="80"/>
          <w:kern w:val="48"/>
        </w:rPr>
        <w:t xml:space="preserve">), που αφορά σε μια νέα ενότητα, με την παροχή διευκολύνσεων για την κάλυψη των εκπαιδευτικών αναγκών των παιδιών των ξένων εργαζομένων στην Κύπρο.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F82402" w:rsidRPr="00A36633">
        <w:rPr>
          <w:rFonts w:cs="Arial"/>
          <w:bCs/>
          <w:spacing w:val="-14"/>
          <w:w w:val="80"/>
          <w:kern w:val="48"/>
        </w:rPr>
        <w:t xml:space="preserve"> Προωθείται, τέλος</w:t>
      </w:r>
      <w:r w:rsidR="003806CD">
        <w:rPr>
          <w:rFonts w:cs="Arial"/>
          <w:bCs/>
          <w:spacing w:val="-14"/>
          <w:w w:val="80"/>
          <w:kern w:val="48"/>
        </w:rPr>
        <w:t>,</w:t>
      </w:r>
      <w:r w:rsidR="00F82402" w:rsidRPr="00A36633">
        <w:rPr>
          <w:rFonts w:cs="Arial"/>
          <w:bCs/>
          <w:spacing w:val="-14"/>
          <w:w w:val="80"/>
          <w:kern w:val="48"/>
        </w:rPr>
        <w:t xml:space="preserve"> μία νέα οντότητα, που έχει σκοπό την αντιμετώπιση προβλημάτων στέγασης, που αντιμετωπίζουν οι ξένες εταιρείες (αξιοποίηση στεγαστικών κινήτρων </w:t>
      </w:r>
      <w:proofErr w:type="spellStart"/>
      <w:r w:rsidR="00F82402" w:rsidRPr="00A36633">
        <w:rPr>
          <w:rFonts w:cs="Arial"/>
          <w:bCs/>
          <w:spacing w:val="-14"/>
          <w:w w:val="80"/>
          <w:kern w:val="48"/>
        </w:rPr>
        <w:t>build</w:t>
      </w:r>
      <w:proofErr w:type="spellEnd"/>
      <w:r w:rsidR="00F82402" w:rsidRPr="00A36633">
        <w:rPr>
          <w:rFonts w:cs="Arial"/>
          <w:bCs/>
          <w:spacing w:val="-14"/>
          <w:w w:val="80"/>
          <w:kern w:val="48"/>
        </w:rPr>
        <w:t>-</w:t>
      </w:r>
      <w:proofErr w:type="spellStart"/>
      <w:r w:rsidR="00F82402" w:rsidRPr="00A36633">
        <w:rPr>
          <w:rFonts w:cs="Arial"/>
          <w:bCs/>
          <w:spacing w:val="-14"/>
          <w:w w:val="80"/>
          <w:kern w:val="48"/>
        </w:rPr>
        <w:t>to</w:t>
      </w:r>
      <w:proofErr w:type="spellEnd"/>
      <w:r w:rsidR="00F82402" w:rsidRPr="00A36633">
        <w:rPr>
          <w:rFonts w:cs="Arial"/>
          <w:bCs/>
          <w:spacing w:val="-14"/>
          <w:w w:val="80"/>
          <w:kern w:val="48"/>
        </w:rPr>
        <w:t>-</w:t>
      </w:r>
      <w:proofErr w:type="spellStart"/>
      <w:r w:rsidR="00F82402" w:rsidRPr="00A36633">
        <w:rPr>
          <w:rFonts w:cs="Arial"/>
          <w:bCs/>
          <w:spacing w:val="-14"/>
          <w:w w:val="80"/>
          <w:kern w:val="48"/>
        </w:rPr>
        <w:t>rent</w:t>
      </w:r>
      <w:proofErr w:type="spellEnd"/>
      <w:r w:rsidR="00F82402" w:rsidRPr="00A36633">
        <w:rPr>
          <w:rFonts w:cs="Arial"/>
          <w:bCs/>
          <w:spacing w:val="-14"/>
          <w:w w:val="80"/>
          <w:kern w:val="48"/>
        </w:rPr>
        <w:t>, αναθεώρηση κάποιων πολεοδομικών κινήτρων κ.ά.)</w:t>
      </w:r>
      <w:r w:rsidR="003806CD">
        <w:rPr>
          <w:rFonts w:cs="Arial"/>
          <w:bCs/>
          <w:spacing w:val="-14"/>
          <w:w w:val="80"/>
          <w:kern w:val="48"/>
        </w:rPr>
        <w:t>.</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4C4036" w:rsidRDefault="00F82402" w:rsidP="004C4036">
      <w:pPr>
        <w:widowControl w:val="0"/>
        <w:tabs>
          <w:tab w:val="left" w:pos="284"/>
        </w:tabs>
        <w:autoSpaceDE w:val="0"/>
        <w:autoSpaceDN w:val="0"/>
        <w:adjustRightInd w:val="0"/>
        <w:spacing w:after="0" w:line="220" w:lineRule="exact"/>
        <w:ind w:left="142" w:right="57"/>
        <w:jc w:val="both"/>
        <w:outlineLvl w:val="0"/>
        <w:rPr>
          <w:rFonts w:cs="Arial"/>
          <w:b/>
          <w:bCs/>
          <w:color w:val="0070C0"/>
          <w:spacing w:val="-14"/>
          <w:w w:val="80"/>
          <w:kern w:val="48"/>
        </w:rPr>
      </w:pPr>
      <w:r w:rsidRPr="00B77D7A">
        <w:rPr>
          <w:rFonts w:cs="Arial"/>
          <w:b/>
          <w:bCs/>
          <w:color w:val="0070C0"/>
          <w:spacing w:val="-14"/>
          <w:w w:val="80"/>
          <w:kern w:val="48"/>
        </w:rPr>
        <w:t>4.2</w:t>
      </w:r>
      <w:r w:rsidR="007D7438" w:rsidRPr="00B77D7A">
        <w:rPr>
          <w:rFonts w:cs="Arial"/>
          <w:b/>
          <w:bCs/>
          <w:color w:val="0070C0"/>
          <w:spacing w:val="-14"/>
          <w:w w:val="80"/>
          <w:kern w:val="48"/>
        </w:rPr>
        <w:t xml:space="preserve">  Χρηματοδοτικές ευκαιρίες στην Κύπρο στον τομέα της Καινοτομίας</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rFonts w:cs="Arial"/>
          <w:b/>
          <w:bCs/>
          <w:color w:val="0070C0"/>
          <w:spacing w:val="-14"/>
          <w:w w:val="80"/>
          <w:kern w:val="48"/>
        </w:rPr>
        <w:t xml:space="preserve">      </w:t>
      </w:r>
      <w:r w:rsidR="007D7438">
        <w:rPr>
          <w:rFonts w:cs="Arial"/>
          <w:bCs/>
          <w:spacing w:val="-14"/>
          <w:w w:val="80"/>
          <w:kern w:val="48"/>
        </w:rPr>
        <w:t xml:space="preserve">  </w:t>
      </w:r>
      <w:r w:rsidR="007D7438" w:rsidRPr="007D7438">
        <w:rPr>
          <w:rFonts w:cs="Arial"/>
          <w:bCs/>
          <w:spacing w:val="-14"/>
          <w:w w:val="80"/>
          <w:kern w:val="48"/>
        </w:rPr>
        <w:t>Έμφαση στην υποστήριξη υφιστάμενων επιχειρήσεων για ανάπτυξη μονάδων έρευνας και νέων προϊόντων δίνει η νέα Στρατηγική Έρευνας και Καινοτομίας (Ε&amp;Κ) 2024-2026 καθώς και το αντίστοιχο Σχέδιο Δράσης της Κύπρου. Η αξιοποίησή τους από τις επιχειρήσεις τους επιτρέπει να εντοπίζουν νέες ευκαιρίες και να αντιμετωπίζουν έγκαιρα προκλήσεις, παραμένοντας ανταγωνιστικές στο διαρκώς μεταβαλλόμενο επιχειρηματικό περιβάλλον. Στο πλαίσιο των ανωτέρω σχεδιασμών, το Ίδρυμα Έρευνας &amp; Καινοτομίας (</w:t>
      </w:r>
      <w:proofErr w:type="spellStart"/>
      <w:r w:rsidR="007D7438" w:rsidRPr="007D7438">
        <w:rPr>
          <w:rFonts w:cs="Arial"/>
          <w:bCs/>
          <w:spacing w:val="-14"/>
          <w:w w:val="80"/>
          <w:kern w:val="48"/>
        </w:rPr>
        <w:t>ΙδΕΚ</w:t>
      </w:r>
      <w:proofErr w:type="spellEnd"/>
      <w:r w:rsidR="007D7438" w:rsidRPr="007D7438">
        <w:rPr>
          <w:rFonts w:cs="Arial"/>
          <w:bCs/>
          <w:spacing w:val="-14"/>
          <w:w w:val="80"/>
          <w:kern w:val="48"/>
        </w:rPr>
        <w:t>) παρέχει διάφορες επιχορηγήσεις για καινοτομίες στη βιομηχανία, την ενέργεια και άλλους τομείς της οικονομίας, για τις οποίες καταγράφεται μεγάλο ενδιαφέρον. Παράλληλα, εντός του 2024, αναμένεται να προκηρυχθούν και νέα προγράμματα, όπως το INNOVATE, το οποίο θα υποστηρίξει υφιστάμενες επιχειρήσεις σε κάθε τομέα δραστηριότητας, που θα επενδύσουν στην έρευνα και καινοτομία.</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D7438" w:rsidRPr="007D7438">
        <w:rPr>
          <w:rFonts w:cs="Arial"/>
          <w:bCs/>
          <w:spacing w:val="-14"/>
          <w:w w:val="80"/>
          <w:kern w:val="48"/>
        </w:rPr>
        <w:t>1. Στο πλαίσιο του Εθνικού Σχεδίου Ανάκαμψης και Ανθεκτικότητας</w:t>
      </w:r>
      <w:r w:rsidR="00F55144">
        <w:rPr>
          <w:rFonts w:cs="Arial"/>
          <w:bCs/>
          <w:spacing w:val="-14"/>
          <w:w w:val="80"/>
          <w:kern w:val="48"/>
        </w:rPr>
        <w:t>,</w:t>
      </w:r>
      <w:r>
        <w:rPr>
          <w:rFonts w:cs="Arial"/>
          <w:bCs/>
          <w:spacing w:val="-14"/>
          <w:w w:val="80"/>
          <w:kern w:val="48"/>
        </w:rPr>
        <w:t xml:space="preserve"> «Κύπρος το </w:t>
      </w:r>
      <w:r w:rsidR="007D7438" w:rsidRPr="007D7438">
        <w:rPr>
          <w:rFonts w:cs="Arial"/>
          <w:bCs/>
          <w:spacing w:val="-14"/>
          <w:w w:val="80"/>
          <w:kern w:val="48"/>
        </w:rPr>
        <w:t>Αύριο», και έχοντας διασφαλίσει</w:t>
      </w:r>
      <w:r w:rsidR="00F55144">
        <w:rPr>
          <w:rFonts w:cs="Arial"/>
          <w:bCs/>
          <w:spacing w:val="-14"/>
          <w:w w:val="80"/>
          <w:kern w:val="48"/>
        </w:rPr>
        <w:t>,</w:t>
      </w:r>
      <w:r w:rsidR="007D7438" w:rsidRPr="007D7438">
        <w:rPr>
          <w:rFonts w:cs="Arial"/>
          <w:bCs/>
          <w:spacing w:val="-14"/>
          <w:w w:val="80"/>
          <w:kern w:val="48"/>
        </w:rPr>
        <w:t xml:space="preserve"> επιπλέον χρηματοδότηση από το σχέδιο </w:t>
      </w:r>
      <w:proofErr w:type="spellStart"/>
      <w:r w:rsidR="007D7438" w:rsidRPr="007D7438">
        <w:rPr>
          <w:rFonts w:cs="Arial"/>
          <w:bCs/>
          <w:spacing w:val="-14"/>
          <w:w w:val="80"/>
          <w:kern w:val="48"/>
        </w:rPr>
        <w:t>REPowerEU</w:t>
      </w:r>
      <w:proofErr w:type="spellEnd"/>
      <w:r w:rsidR="007D7438" w:rsidRPr="007D7438">
        <w:rPr>
          <w:rFonts w:cs="Arial"/>
          <w:bCs/>
          <w:spacing w:val="-14"/>
          <w:w w:val="80"/>
          <w:kern w:val="48"/>
        </w:rPr>
        <w:t xml:space="preserve"> της Ευρωπαϊκής Επιτροπής (σχέδιο για ταχεία μείωση της εξάρτησης από τα ρωσικά ορυκτά καύσιμα και την επιτάχυνση της πράσινης μετάβασης), το </w:t>
      </w:r>
      <w:proofErr w:type="spellStart"/>
      <w:r w:rsidR="007D7438" w:rsidRPr="007D7438">
        <w:rPr>
          <w:rFonts w:cs="Arial"/>
          <w:bCs/>
          <w:spacing w:val="-14"/>
          <w:w w:val="80"/>
          <w:kern w:val="48"/>
        </w:rPr>
        <w:lastRenderedPageBreak/>
        <w:t>ΙδΕΚ</w:t>
      </w:r>
      <w:proofErr w:type="spellEnd"/>
      <w:r w:rsidR="007D7438" w:rsidRPr="007D7438">
        <w:rPr>
          <w:rFonts w:cs="Arial"/>
          <w:bCs/>
          <w:spacing w:val="-14"/>
          <w:w w:val="80"/>
          <w:kern w:val="48"/>
        </w:rPr>
        <w:t xml:space="preserve"> προκήρυξε δύο νέα χρηματοδοτικά προγράμματα για ενίσχυση του τομέα της ενέργειας.</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D7438" w:rsidRPr="007D7438">
        <w:rPr>
          <w:rFonts w:cs="Arial"/>
          <w:bCs/>
          <w:spacing w:val="-14"/>
          <w:w w:val="80"/>
          <w:kern w:val="48"/>
          <w:u w:val="single"/>
        </w:rPr>
        <w:t>Το πρώτο πρόγραμμα</w:t>
      </w:r>
      <w:r w:rsidR="007D7438" w:rsidRPr="007D7438">
        <w:rPr>
          <w:rFonts w:cs="Arial"/>
          <w:bCs/>
          <w:spacing w:val="-14"/>
          <w:w w:val="80"/>
          <w:kern w:val="48"/>
        </w:rPr>
        <w:t>, με προϋπολογισμό</w:t>
      </w:r>
      <w:r w:rsidR="003806CD">
        <w:rPr>
          <w:rFonts w:cs="Arial"/>
          <w:bCs/>
          <w:spacing w:val="-14"/>
          <w:w w:val="80"/>
          <w:kern w:val="48"/>
        </w:rPr>
        <w:t>,</w:t>
      </w:r>
      <w:r w:rsidR="007D7438" w:rsidRPr="007D7438">
        <w:rPr>
          <w:rFonts w:cs="Arial"/>
          <w:bCs/>
          <w:spacing w:val="-14"/>
          <w:w w:val="80"/>
          <w:kern w:val="48"/>
        </w:rPr>
        <w:t xml:space="preserve"> 4 εκ. </w:t>
      </w:r>
      <w:proofErr w:type="gramStart"/>
      <w:r w:rsidR="007D7438" w:rsidRPr="007D7438">
        <w:rPr>
          <w:rFonts w:cs="Arial"/>
          <w:bCs/>
          <w:spacing w:val="-14"/>
          <w:w w:val="80"/>
          <w:kern w:val="48"/>
          <w:lang w:val="en-US"/>
        </w:rPr>
        <w:t>E</w:t>
      </w:r>
      <w:proofErr w:type="spellStart"/>
      <w:r w:rsidR="007D7438" w:rsidRPr="007D7438">
        <w:rPr>
          <w:rFonts w:cs="Arial"/>
          <w:bCs/>
          <w:spacing w:val="-14"/>
          <w:w w:val="80"/>
          <w:kern w:val="48"/>
        </w:rPr>
        <w:t>υρώ</w:t>
      </w:r>
      <w:proofErr w:type="spellEnd"/>
      <w:r w:rsidR="003806CD">
        <w:rPr>
          <w:rFonts w:cs="Arial"/>
          <w:bCs/>
          <w:spacing w:val="-14"/>
          <w:w w:val="80"/>
          <w:kern w:val="48"/>
        </w:rPr>
        <w:t>,</w:t>
      </w:r>
      <w:r w:rsidR="007D7438" w:rsidRPr="007D7438">
        <w:rPr>
          <w:rFonts w:cs="Arial"/>
          <w:bCs/>
          <w:spacing w:val="-14"/>
          <w:w w:val="80"/>
          <w:kern w:val="48"/>
        </w:rPr>
        <w:t xml:space="preserve"> εστιάζει στην ανάπτυξη τεχνολογικών λύσεων σε προκλήσεις, που αντιμετωπίζει η Κύπρος στην παραγωγή, αποθήκευση, μεταφορά και διανομή ηλεκτρικής ενέργειας.</w:t>
      </w:r>
      <w:proofErr w:type="gramEnd"/>
      <w:r w:rsidR="007D7438" w:rsidRPr="007D7438">
        <w:rPr>
          <w:rFonts w:cs="Arial"/>
          <w:bCs/>
          <w:spacing w:val="-14"/>
          <w:w w:val="80"/>
          <w:kern w:val="48"/>
        </w:rPr>
        <w:t xml:space="preserve"> </w:t>
      </w:r>
      <w:r w:rsidR="00F55144">
        <w:rPr>
          <w:rFonts w:cs="Arial"/>
          <w:bCs/>
          <w:spacing w:val="-14"/>
          <w:w w:val="80"/>
          <w:kern w:val="48"/>
        </w:rPr>
        <w:t xml:space="preserve"> </w:t>
      </w:r>
      <w:r w:rsidR="007D7438" w:rsidRPr="007D7438">
        <w:rPr>
          <w:rFonts w:cs="Arial"/>
          <w:bCs/>
          <w:spacing w:val="-14"/>
          <w:w w:val="80"/>
          <w:kern w:val="48"/>
        </w:rPr>
        <w:t>Στόχος</w:t>
      </w:r>
      <w:r w:rsidR="003806CD">
        <w:rPr>
          <w:rFonts w:cs="Arial"/>
          <w:bCs/>
          <w:spacing w:val="-14"/>
          <w:w w:val="80"/>
          <w:kern w:val="48"/>
        </w:rPr>
        <w:t>,</w:t>
      </w:r>
      <w:r w:rsidR="007D7438" w:rsidRPr="007D7438">
        <w:rPr>
          <w:rFonts w:cs="Arial"/>
          <w:bCs/>
          <w:spacing w:val="-14"/>
          <w:w w:val="80"/>
          <w:kern w:val="48"/>
        </w:rPr>
        <w:t xml:space="preserve"> είναι η ανάπτυξη και παραγωγή προϊόντων και υπηρεσιών, που μπορούν να τύχουν αξιοποίησης από Οργανισμούς, που δραστηριοποιούνται στην ενέργεια. Η μέγιστη χρηματοδότηση</w:t>
      </w:r>
      <w:r w:rsidR="00F55144">
        <w:rPr>
          <w:rFonts w:cs="Arial"/>
          <w:bCs/>
          <w:spacing w:val="-14"/>
          <w:w w:val="80"/>
          <w:kern w:val="48"/>
        </w:rPr>
        <w:t>,</w:t>
      </w:r>
      <w:r w:rsidR="007D7438" w:rsidRPr="007D7438">
        <w:rPr>
          <w:rFonts w:cs="Arial"/>
          <w:bCs/>
          <w:spacing w:val="-14"/>
          <w:w w:val="80"/>
          <w:kern w:val="48"/>
        </w:rPr>
        <w:t xml:space="preserve"> ανά έργο ανέρχεται στις 200.000 Ευρώ και η υποβολή προτάσεων γίνεται μέσω της πύλης IRIS (</w:t>
      </w:r>
      <w:hyperlink r:id="rId12" w:history="1">
        <w:r w:rsidR="007D7438" w:rsidRPr="007D7438">
          <w:rPr>
            <w:rStyle w:val="Hyperlink"/>
            <w:rFonts w:cs="Arial"/>
            <w:bCs/>
            <w:spacing w:val="-14"/>
            <w:w w:val="80"/>
            <w:kern w:val="48"/>
          </w:rPr>
          <w:t>https://iris.research.org.cy/</w:t>
        </w:r>
      </w:hyperlink>
      <w:r w:rsidR="007D7438" w:rsidRPr="007D7438">
        <w:rPr>
          <w:rFonts w:cs="Arial"/>
          <w:bCs/>
          <w:spacing w:val="-14"/>
          <w:w w:val="80"/>
          <w:kern w:val="48"/>
        </w:rPr>
        <w:t>), με καταληκτική ημερομηνία την 26.01.24.</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4C4036">
        <w:rPr>
          <w:rFonts w:cs="Arial"/>
          <w:bCs/>
          <w:spacing w:val="-14"/>
          <w:w w:val="80"/>
          <w:kern w:val="48"/>
        </w:rPr>
        <w:t xml:space="preserve">      </w:t>
      </w:r>
      <w:r w:rsidR="007D7438" w:rsidRPr="007D7438">
        <w:rPr>
          <w:rFonts w:cs="Arial"/>
          <w:bCs/>
          <w:spacing w:val="-14"/>
          <w:w w:val="80"/>
          <w:kern w:val="48"/>
          <w:u w:val="single"/>
        </w:rPr>
        <w:t>Το δεύτερο πρόγραμμα</w:t>
      </w:r>
      <w:r w:rsidR="007D7438" w:rsidRPr="007D7438">
        <w:rPr>
          <w:rFonts w:cs="Arial"/>
          <w:bCs/>
          <w:spacing w:val="-14"/>
          <w:w w:val="80"/>
          <w:kern w:val="48"/>
        </w:rPr>
        <w:t xml:space="preserve"> με προϋπολογισμό</w:t>
      </w:r>
      <w:r w:rsidR="003806CD">
        <w:rPr>
          <w:rFonts w:cs="Arial"/>
          <w:bCs/>
          <w:spacing w:val="-14"/>
          <w:w w:val="80"/>
          <w:kern w:val="48"/>
        </w:rPr>
        <w:t>,</w:t>
      </w:r>
      <w:r w:rsidR="007D7438" w:rsidRPr="007D7438">
        <w:rPr>
          <w:rFonts w:cs="Arial"/>
          <w:bCs/>
          <w:spacing w:val="-14"/>
          <w:w w:val="80"/>
          <w:kern w:val="48"/>
        </w:rPr>
        <w:t xml:space="preserve">  6 εκ. Ευρώ</w:t>
      </w:r>
      <w:r w:rsidR="003806CD">
        <w:rPr>
          <w:rFonts w:cs="Arial"/>
          <w:bCs/>
          <w:spacing w:val="-14"/>
          <w:w w:val="80"/>
          <w:kern w:val="48"/>
        </w:rPr>
        <w:t>,</w:t>
      </w:r>
      <w:r w:rsidR="007D7438" w:rsidRPr="007D7438">
        <w:rPr>
          <w:rFonts w:cs="Arial"/>
          <w:bCs/>
          <w:spacing w:val="-14"/>
          <w:w w:val="80"/>
          <w:kern w:val="48"/>
        </w:rPr>
        <w:t xml:space="preserve"> φέρει την ονομασία «CO-DEVELOP- </w:t>
      </w:r>
      <w:proofErr w:type="spellStart"/>
      <w:r w:rsidR="007D7438" w:rsidRPr="007D7438">
        <w:rPr>
          <w:rFonts w:cs="Arial"/>
          <w:bCs/>
          <w:spacing w:val="-14"/>
          <w:w w:val="80"/>
          <w:kern w:val="48"/>
        </w:rPr>
        <w:t>REPowerEU</w:t>
      </w:r>
      <w:proofErr w:type="spellEnd"/>
      <w:r w:rsidR="007D7438" w:rsidRPr="007D7438">
        <w:rPr>
          <w:rFonts w:cs="Arial"/>
          <w:bCs/>
          <w:spacing w:val="-14"/>
          <w:w w:val="80"/>
          <w:kern w:val="48"/>
        </w:rPr>
        <w:t>» </w:t>
      </w:r>
      <w:r w:rsidR="003806CD">
        <w:rPr>
          <w:rFonts w:cs="Arial"/>
          <w:bCs/>
          <w:spacing w:val="-14"/>
          <w:w w:val="80"/>
          <w:kern w:val="48"/>
        </w:rPr>
        <w:t xml:space="preserve"> </w:t>
      </w:r>
      <w:r w:rsidR="007D7438" w:rsidRPr="007D7438">
        <w:rPr>
          <w:rFonts w:cs="Arial"/>
          <w:bCs/>
          <w:spacing w:val="-14"/>
          <w:w w:val="80"/>
          <w:kern w:val="48"/>
        </w:rPr>
        <w:t>και η μέγιστη χρηματοδότηση, ανά έργο, ανέρχεται στις 600.000 Ευρώ. Σκοπός</w:t>
      </w:r>
      <w:r w:rsidR="003806CD">
        <w:rPr>
          <w:rFonts w:cs="Arial"/>
          <w:bCs/>
          <w:spacing w:val="-14"/>
          <w:w w:val="80"/>
          <w:kern w:val="48"/>
        </w:rPr>
        <w:t>,</w:t>
      </w:r>
      <w:r w:rsidR="007D7438" w:rsidRPr="007D7438">
        <w:rPr>
          <w:rFonts w:cs="Arial"/>
          <w:bCs/>
          <w:spacing w:val="-14"/>
          <w:w w:val="80"/>
          <w:kern w:val="48"/>
        </w:rPr>
        <w:t xml:space="preserve"> είναι η συνεργασία μεταξύ επιχειρήσεων και οργανισμών έρευνας για τον, από κοινού, σχεδιασμό και ανάπτυξη νέων τεχνολογιών και οικονομικά αποδοτικών λύσεων σε προκλήσεις, όπως η κλιματική αλλαγή, η ενεργειακή απόδοση στη βιομηχανία, η αξιοποίηση ανανεώσιμων πηγών ενέργειας και η διασφάλιση της ανθεκτικότητας και ασφάλειας των ενεργειακών συστημάτων. Σημειώνεται</w:t>
      </w:r>
      <w:r w:rsidR="00F55144">
        <w:rPr>
          <w:rFonts w:cs="Arial"/>
          <w:bCs/>
          <w:spacing w:val="-14"/>
          <w:w w:val="80"/>
          <w:kern w:val="48"/>
        </w:rPr>
        <w:t>,</w:t>
      </w:r>
      <w:r w:rsidR="007D7438" w:rsidRPr="007D7438">
        <w:rPr>
          <w:rFonts w:cs="Arial"/>
          <w:bCs/>
          <w:spacing w:val="-14"/>
          <w:w w:val="80"/>
          <w:kern w:val="48"/>
        </w:rPr>
        <w:t xml:space="preserve"> ότι οι φορείς, οι οποίοι θα επιλεγούν για χρηματοδότηση θα έχουν αυτόματα τη δυνατότητα να αξιοποιήσουν τις δωρεάν υποστηρικτικές υπηρεσίες καινοτομίας και τα εργαλεία μεταφοράς γνώσης του </w:t>
      </w:r>
      <w:proofErr w:type="spellStart"/>
      <w:r w:rsidR="007D7438" w:rsidRPr="007D7438">
        <w:rPr>
          <w:rFonts w:cs="Arial"/>
          <w:bCs/>
          <w:spacing w:val="-14"/>
          <w:w w:val="80"/>
          <w:kern w:val="48"/>
        </w:rPr>
        <w:t>ΙδΕΚ</w:t>
      </w:r>
      <w:proofErr w:type="spellEnd"/>
      <w:r w:rsidR="007D7438" w:rsidRPr="007D7438">
        <w:rPr>
          <w:rFonts w:cs="Arial"/>
          <w:bCs/>
          <w:spacing w:val="-14"/>
          <w:w w:val="80"/>
          <w:kern w:val="48"/>
        </w:rPr>
        <w:t>.</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rFonts w:cs="Arial"/>
          <w:bCs/>
          <w:spacing w:val="-14"/>
          <w:w w:val="80"/>
          <w:kern w:val="48"/>
          <w:u w:val="single"/>
        </w:rPr>
        <w:t xml:space="preserve">      </w:t>
      </w:r>
      <w:r w:rsidR="007D7438" w:rsidRPr="007D7438">
        <w:rPr>
          <w:rFonts w:cs="Arial"/>
          <w:bCs/>
          <w:spacing w:val="-14"/>
          <w:w w:val="80"/>
          <w:kern w:val="48"/>
        </w:rPr>
        <w:t>Τα προγράμματα αυτά λειτουργούν ως εργαλείο για την ανάπτυξη συνεργασιών, τη μεταφορά τεχνογνωσίας, την εμπορική αξιοποίηση της έρευνας, την ενίσχυση της ανταγωνιστικότητας των κ/επιχειρήσεων και την επιτάχυνση της μετάβασης σε μία σύγχρονη, αποδοτική</w:t>
      </w:r>
      <w:r w:rsidR="00F55144">
        <w:rPr>
          <w:rFonts w:cs="Arial"/>
          <w:bCs/>
          <w:spacing w:val="-14"/>
          <w:w w:val="80"/>
          <w:kern w:val="48"/>
        </w:rPr>
        <w:t>,</w:t>
      </w:r>
      <w:r w:rsidR="007D7438" w:rsidRPr="007D7438">
        <w:rPr>
          <w:rFonts w:cs="Arial"/>
          <w:bCs/>
          <w:spacing w:val="-14"/>
          <w:w w:val="80"/>
          <w:kern w:val="48"/>
        </w:rPr>
        <w:t xml:space="preserve"> ως προς τη χρήση των πόρων</w:t>
      </w:r>
      <w:r w:rsidR="00F55144">
        <w:rPr>
          <w:rFonts w:cs="Arial"/>
          <w:bCs/>
          <w:spacing w:val="-14"/>
          <w:w w:val="80"/>
          <w:kern w:val="48"/>
        </w:rPr>
        <w:t>,</w:t>
      </w:r>
      <w:r w:rsidR="007D7438" w:rsidRPr="007D7438">
        <w:rPr>
          <w:rFonts w:cs="Arial"/>
          <w:bCs/>
          <w:spacing w:val="-14"/>
          <w:w w:val="80"/>
          <w:kern w:val="48"/>
        </w:rPr>
        <w:t xml:space="preserve"> και βιώσιμη οικονομία.</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D7438" w:rsidRPr="007D7438">
        <w:rPr>
          <w:rFonts w:cs="Arial"/>
          <w:bCs/>
          <w:spacing w:val="-14"/>
          <w:w w:val="80"/>
          <w:kern w:val="48"/>
        </w:rPr>
        <w:t>2. Στο πλαίσιο του νέου κύκλου του προγράμμα</w:t>
      </w:r>
      <w:r w:rsidR="003806CD">
        <w:rPr>
          <w:rFonts w:cs="Arial"/>
          <w:bCs/>
          <w:spacing w:val="-14"/>
          <w:w w:val="80"/>
          <w:kern w:val="48"/>
        </w:rPr>
        <w:t>τος Διδακτορικό στη Βιομηχανία -</w:t>
      </w:r>
      <w:r w:rsidR="007D7438" w:rsidRPr="007D7438">
        <w:rPr>
          <w:rFonts w:cs="Arial"/>
          <w:bCs/>
          <w:spacing w:val="-14"/>
          <w:w w:val="80"/>
          <w:kern w:val="48"/>
        </w:rPr>
        <w:t> «PHD</w:t>
      </w:r>
      <w:r w:rsidR="003806CD">
        <w:rPr>
          <w:rFonts w:cs="Arial"/>
          <w:bCs/>
          <w:spacing w:val="-14"/>
          <w:w w:val="80"/>
          <w:kern w:val="48"/>
        </w:rPr>
        <w:t xml:space="preserve"> IN INDUSTRY/1123» του </w:t>
      </w:r>
      <w:proofErr w:type="spellStart"/>
      <w:r w:rsidR="003806CD">
        <w:rPr>
          <w:rFonts w:cs="Arial"/>
          <w:bCs/>
          <w:spacing w:val="-14"/>
          <w:w w:val="80"/>
          <w:kern w:val="48"/>
        </w:rPr>
        <w:t>ΙδΕΚ</w:t>
      </w:r>
      <w:proofErr w:type="spellEnd"/>
      <w:r w:rsidR="003806CD">
        <w:rPr>
          <w:rFonts w:cs="Arial"/>
          <w:bCs/>
          <w:spacing w:val="-14"/>
          <w:w w:val="80"/>
          <w:kern w:val="48"/>
        </w:rPr>
        <w:t>, κ/</w:t>
      </w:r>
      <w:r w:rsidR="007D7438" w:rsidRPr="007D7438">
        <w:rPr>
          <w:rFonts w:cs="Arial"/>
          <w:bCs/>
          <w:spacing w:val="-14"/>
          <w:w w:val="80"/>
          <w:kern w:val="48"/>
        </w:rPr>
        <w:t>επιχειρήσεις έχουν τη δυνατότητα να απασχολήσουν φοιτητές/</w:t>
      </w:r>
      <w:proofErr w:type="spellStart"/>
      <w:r w:rsidR="007D7438" w:rsidRPr="007D7438">
        <w:rPr>
          <w:rFonts w:cs="Arial"/>
          <w:bCs/>
          <w:spacing w:val="-14"/>
          <w:w w:val="80"/>
          <w:kern w:val="48"/>
        </w:rPr>
        <w:t>τριες</w:t>
      </w:r>
      <w:r w:rsidR="003806CD">
        <w:rPr>
          <w:rFonts w:cs="Arial"/>
          <w:bCs/>
          <w:spacing w:val="-14"/>
          <w:w w:val="80"/>
          <w:kern w:val="48"/>
        </w:rPr>
        <w:t>,</w:t>
      </w:r>
      <w:proofErr w:type="spellEnd"/>
      <w:r w:rsidR="007D7438" w:rsidRPr="007D7438">
        <w:rPr>
          <w:rFonts w:cs="Arial"/>
          <w:bCs/>
          <w:spacing w:val="-14"/>
          <w:w w:val="80"/>
          <w:kern w:val="48"/>
        </w:rPr>
        <w:t xml:space="preserve"> διδακτορικού επιπέδου</w:t>
      </w:r>
      <w:r w:rsidR="003806CD">
        <w:rPr>
          <w:rFonts w:cs="Arial"/>
          <w:bCs/>
          <w:spacing w:val="-14"/>
          <w:w w:val="80"/>
          <w:kern w:val="48"/>
        </w:rPr>
        <w:t>,</w:t>
      </w:r>
      <w:r w:rsidR="007D7438" w:rsidRPr="007D7438">
        <w:rPr>
          <w:rFonts w:cs="Arial"/>
          <w:bCs/>
          <w:spacing w:val="-14"/>
          <w:w w:val="80"/>
          <w:kern w:val="48"/>
        </w:rPr>
        <w:t xml:space="preserve"> για υλοποίηση έργων έρευνας και καινοτομίας, τα οποία θα οδηγούν σε λύσεις, που ανταποκρίνονται σε ανάγκες της κοινωνίας και των ίδιων των επιχειρήσεων, ενισχύοντας την ανταγωνιστικότητά τους. Με προϋπολογισμό 1.750.000 Ευρώ και μέγιστη χρηματοδότηση 150.000 Ευρώ, ανά έργο, το πρόγραμμα δίνει τη δυνατότητα σε επιχειρήσεις να κάνουν ένα πρώτο βήμα προς τη δημιουργία τμήματος Έρευνας και Ανάπτυξης (Ε&amp;Α), μέσω της πρόσληψης νέων εξειδικευμένων ταλέντων ή της ενίσχυσης του υφιστάμενου προσωπικού. Προσφέρει, επίσης, ευκαιρίες απασχόλησης, πέραν του ακαδημαϊκού χώρου</w:t>
      </w:r>
      <w:r w:rsidR="008E291C">
        <w:rPr>
          <w:rFonts w:cs="Arial"/>
          <w:bCs/>
          <w:spacing w:val="-14"/>
          <w:w w:val="80"/>
          <w:kern w:val="48"/>
        </w:rPr>
        <w:t>,</w:t>
      </w:r>
      <w:r w:rsidR="007D7438" w:rsidRPr="007D7438">
        <w:rPr>
          <w:rFonts w:cs="Arial"/>
          <w:bCs/>
          <w:spacing w:val="-14"/>
          <w:w w:val="80"/>
          <w:kern w:val="48"/>
        </w:rPr>
        <w:t xml:space="preserve"> σε νέους ερευνητές/</w:t>
      </w:r>
      <w:proofErr w:type="spellStart"/>
      <w:r w:rsidR="007D7438" w:rsidRPr="007D7438">
        <w:rPr>
          <w:rFonts w:cs="Arial"/>
          <w:bCs/>
          <w:spacing w:val="-14"/>
          <w:w w:val="80"/>
          <w:kern w:val="48"/>
        </w:rPr>
        <w:t>τριες,</w:t>
      </w:r>
      <w:proofErr w:type="spellEnd"/>
      <w:r w:rsidR="007D7438" w:rsidRPr="007D7438">
        <w:rPr>
          <w:rFonts w:cs="Arial"/>
          <w:bCs/>
          <w:spacing w:val="-14"/>
          <w:w w:val="80"/>
          <w:kern w:val="48"/>
        </w:rPr>
        <w:t xml:space="preserve"> διευκολύνοντας τη διοχέτευση του επιστημονικού ταλέντου της Κύπρου στην πραγματική οικονομία.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D7438" w:rsidRPr="007D7438">
        <w:rPr>
          <w:rFonts w:cs="Arial"/>
          <w:bCs/>
          <w:spacing w:val="-14"/>
          <w:w w:val="80"/>
          <w:kern w:val="48"/>
        </w:rPr>
        <w:t xml:space="preserve">Ο νέος κύκλος του προγράμματος δίνει προτεραιότητα σε προτάσεις, που δεν έχουν εξασφαλίσει προηγούμενη χρηματοδότηση από το </w:t>
      </w:r>
      <w:proofErr w:type="spellStart"/>
      <w:r w:rsidR="007D7438" w:rsidRPr="007D7438">
        <w:rPr>
          <w:rFonts w:cs="Arial"/>
          <w:bCs/>
          <w:spacing w:val="-14"/>
          <w:w w:val="80"/>
          <w:kern w:val="48"/>
        </w:rPr>
        <w:t>ΙδΕΚ</w:t>
      </w:r>
      <w:proofErr w:type="spellEnd"/>
      <w:r w:rsidR="007D7438" w:rsidRPr="007D7438">
        <w:rPr>
          <w:rFonts w:cs="Arial"/>
          <w:bCs/>
          <w:spacing w:val="-14"/>
          <w:w w:val="80"/>
          <w:kern w:val="48"/>
        </w:rPr>
        <w:t xml:space="preserve"> ή/και ευρωπαϊκά προγράμματα</w:t>
      </w:r>
      <w:r w:rsidR="008F7B11">
        <w:rPr>
          <w:rFonts w:cs="Arial"/>
          <w:bCs/>
          <w:spacing w:val="-14"/>
          <w:w w:val="80"/>
          <w:kern w:val="48"/>
        </w:rPr>
        <w:t>,</w:t>
      </w:r>
      <w:r w:rsidR="007D7438" w:rsidRPr="007D7438">
        <w:rPr>
          <w:rFonts w:cs="Arial"/>
          <w:bCs/>
          <w:spacing w:val="-14"/>
          <w:w w:val="80"/>
          <w:kern w:val="48"/>
        </w:rPr>
        <w:t xml:space="preserve"> από το 2016 έως τώρα</w:t>
      </w:r>
      <w:r w:rsidR="008F7B11">
        <w:rPr>
          <w:rFonts w:cs="Arial"/>
          <w:bCs/>
          <w:spacing w:val="-14"/>
          <w:w w:val="80"/>
          <w:kern w:val="48"/>
        </w:rPr>
        <w:t>,</w:t>
      </w:r>
      <w:r w:rsidR="007D7438" w:rsidRPr="007D7438">
        <w:rPr>
          <w:rFonts w:cs="Arial"/>
          <w:bCs/>
          <w:spacing w:val="-14"/>
          <w:w w:val="80"/>
          <w:kern w:val="48"/>
        </w:rPr>
        <w:t xml:space="preserve"> καθώς και σε μεσαίες και μεγάλες επιχειρήσεις. Το περιεχόμενο του έργου θα πρέπει να συνάδει με τις δραστηριότητες της επιχείρησης, να συμβαδίζει με το περιεχόμενο της διδακτορικής διατριβής του ερευνητή/</w:t>
      </w:r>
      <w:proofErr w:type="spellStart"/>
      <w:r w:rsidR="007D7438" w:rsidRPr="007D7438">
        <w:rPr>
          <w:rFonts w:cs="Arial"/>
          <w:bCs/>
          <w:spacing w:val="-14"/>
          <w:w w:val="80"/>
          <w:kern w:val="48"/>
        </w:rPr>
        <w:t>τριας,</w:t>
      </w:r>
      <w:proofErr w:type="spellEnd"/>
      <w:r w:rsidR="007D7438" w:rsidRPr="007D7438">
        <w:rPr>
          <w:rFonts w:cs="Arial"/>
          <w:bCs/>
          <w:spacing w:val="-14"/>
          <w:w w:val="80"/>
          <w:kern w:val="48"/>
        </w:rPr>
        <w:t xml:space="preserve"> και να εντάσσεται στα ακόλουθα επιστημονικά πεδία: 1) Επιστήμες Ζωής (</w:t>
      </w:r>
      <w:proofErr w:type="spellStart"/>
      <w:r w:rsidR="007D7438" w:rsidRPr="007D7438">
        <w:rPr>
          <w:rFonts w:cs="Arial"/>
          <w:bCs/>
          <w:spacing w:val="-14"/>
          <w:w w:val="80"/>
          <w:kern w:val="48"/>
        </w:rPr>
        <w:t>Life</w:t>
      </w:r>
      <w:proofErr w:type="spellEnd"/>
      <w:r w:rsidR="007D7438" w:rsidRPr="007D7438">
        <w:rPr>
          <w:rFonts w:cs="Arial"/>
          <w:bCs/>
          <w:spacing w:val="-14"/>
          <w:w w:val="80"/>
          <w:kern w:val="48"/>
        </w:rPr>
        <w:t xml:space="preserve"> </w:t>
      </w:r>
      <w:proofErr w:type="spellStart"/>
      <w:r w:rsidR="007D7438" w:rsidRPr="007D7438">
        <w:rPr>
          <w:rFonts w:cs="Arial"/>
          <w:bCs/>
          <w:spacing w:val="-14"/>
          <w:w w:val="80"/>
          <w:kern w:val="48"/>
        </w:rPr>
        <w:t>Sciences</w:t>
      </w:r>
      <w:proofErr w:type="spellEnd"/>
      <w:r w:rsidR="007D7438" w:rsidRPr="007D7438">
        <w:rPr>
          <w:rFonts w:cs="Arial"/>
          <w:bCs/>
          <w:spacing w:val="-14"/>
          <w:w w:val="80"/>
          <w:kern w:val="48"/>
        </w:rPr>
        <w:t>) και 2) Φυσικές Επιστήμες και Μηχανική (</w:t>
      </w:r>
      <w:proofErr w:type="spellStart"/>
      <w:r w:rsidR="007D7438" w:rsidRPr="007D7438">
        <w:rPr>
          <w:rFonts w:cs="Arial"/>
          <w:bCs/>
          <w:spacing w:val="-14"/>
          <w:w w:val="80"/>
          <w:kern w:val="48"/>
        </w:rPr>
        <w:t>Physical</w:t>
      </w:r>
      <w:proofErr w:type="spellEnd"/>
      <w:r w:rsidR="007D7438" w:rsidRPr="007D7438">
        <w:rPr>
          <w:rFonts w:cs="Arial"/>
          <w:bCs/>
          <w:spacing w:val="-14"/>
          <w:w w:val="80"/>
          <w:kern w:val="48"/>
        </w:rPr>
        <w:t xml:space="preserve"> </w:t>
      </w:r>
      <w:proofErr w:type="spellStart"/>
      <w:r w:rsidR="007D7438" w:rsidRPr="007D7438">
        <w:rPr>
          <w:rFonts w:cs="Arial"/>
          <w:bCs/>
          <w:spacing w:val="-14"/>
          <w:w w:val="80"/>
          <w:kern w:val="48"/>
        </w:rPr>
        <w:t>Sciences</w:t>
      </w:r>
      <w:proofErr w:type="spellEnd"/>
      <w:r w:rsidR="007D7438" w:rsidRPr="007D7438">
        <w:rPr>
          <w:rFonts w:cs="Arial"/>
          <w:bCs/>
          <w:spacing w:val="-14"/>
          <w:w w:val="80"/>
          <w:kern w:val="48"/>
        </w:rPr>
        <w:t xml:space="preserve"> </w:t>
      </w:r>
      <w:proofErr w:type="spellStart"/>
      <w:r w:rsidR="007D7438" w:rsidRPr="007D7438">
        <w:rPr>
          <w:rFonts w:cs="Arial"/>
          <w:bCs/>
          <w:spacing w:val="-14"/>
          <w:w w:val="80"/>
          <w:kern w:val="48"/>
        </w:rPr>
        <w:t>and</w:t>
      </w:r>
      <w:proofErr w:type="spellEnd"/>
      <w:r w:rsidR="007D7438" w:rsidRPr="007D7438">
        <w:rPr>
          <w:rFonts w:cs="Arial"/>
          <w:bCs/>
          <w:spacing w:val="-14"/>
          <w:w w:val="80"/>
          <w:kern w:val="48"/>
        </w:rPr>
        <w:t xml:space="preserve"> </w:t>
      </w:r>
      <w:proofErr w:type="spellStart"/>
      <w:r w:rsidR="007D7438" w:rsidRPr="007D7438">
        <w:rPr>
          <w:rFonts w:cs="Arial"/>
          <w:bCs/>
          <w:spacing w:val="-14"/>
          <w:w w:val="80"/>
          <w:kern w:val="48"/>
        </w:rPr>
        <w:t>Engineering</w:t>
      </w:r>
      <w:proofErr w:type="spellEnd"/>
      <w:r w:rsidR="007D7438" w:rsidRPr="007D7438">
        <w:rPr>
          <w:rFonts w:cs="Arial"/>
          <w:bCs/>
          <w:spacing w:val="-14"/>
          <w:w w:val="80"/>
          <w:kern w:val="48"/>
        </w:rPr>
        <w:t>). Μπορούν</w:t>
      </w:r>
      <w:r w:rsidR="008E291C">
        <w:rPr>
          <w:rFonts w:cs="Arial"/>
          <w:bCs/>
          <w:spacing w:val="-14"/>
          <w:w w:val="80"/>
          <w:kern w:val="48"/>
        </w:rPr>
        <w:t>,</w:t>
      </w:r>
      <w:r w:rsidR="007D7438" w:rsidRPr="007D7438">
        <w:rPr>
          <w:rFonts w:cs="Arial"/>
          <w:bCs/>
          <w:spacing w:val="-14"/>
          <w:w w:val="80"/>
          <w:kern w:val="48"/>
        </w:rPr>
        <w:t xml:space="preserve"> </w:t>
      </w:r>
      <w:r w:rsidR="008E291C">
        <w:rPr>
          <w:rFonts w:cs="Arial"/>
          <w:bCs/>
          <w:spacing w:val="-14"/>
          <w:w w:val="80"/>
          <w:kern w:val="48"/>
        </w:rPr>
        <w:t>επίσης,</w:t>
      </w:r>
      <w:r w:rsidR="007D7438" w:rsidRPr="007D7438">
        <w:rPr>
          <w:rFonts w:cs="Arial"/>
          <w:bCs/>
          <w:spacing w:val="-14"/>
          <w:w w:val="80"/>
          <w:kern w:val="48"/>
        </w:rPr>
        <w:t xml:space="preserve"> να υποβληθούν προτάσεις, που αφορούν σε εφαρμογές των κοινωνικών και ανθρωπιστικών επιστήμων στους τομείς αυτούς. Οι φορείς, που θα επιλεγούν για χρηματοδότηση αποκτούν</w:t>
      </w:r>
      <w:r w:rsidR="008E291C">
        <w:rPr>
          <w:rFonts w:cs="Arial"/>
          <w:bCs/>
          <w:spacing w:val="-14"/>
          <w:w w:val="80"/>
          <w:kern w:val="48"/>
        </w:rPr>
        <w:t>,</w:t>
      </w:r>
      <w:r w:rsidR="007D7438" w:rsidRPr="007D7438">
        <w:rPr>
          <w:rFonts w:cs="Arial"/>
          <w:bCs/>
          <w:spacing w:val="-14"/>
          <w:w w:val="80"/>
          <w:kern w:val="48"/>
        </w:rPr>
        <w:t xml:space="preserve"> αυτόματα</w:t>
      </w:r>
      <w:r w:rsidR="008E291C">
        <w:rPr>
          <w:rFonts w:cs="Arial"/>
          <w:bCs/>
          <w:spacing w:val="-14"/>
          <w:w w:val="80"/>
          <w:kern w:val="48"/>
        </w:rPr>
        <w:t>,</w:t>
      </w:r>
      <w:r w:rsidR="007D7438" w:rsidRPr="007D7438">
        <w:rPr>
          <w:rFonts w:cs="Arial"/>
          <w:bCs/>
          <w:spacing w:val="-14"/>
          <w:w w:val="80"/>
          <w:kern w:val="48"/>
        </w:rPr>
        <w:t xml:space="preserve"> πρόσβαση στις δωρεάν υποστηρικτικές υπηρεσίες καινοτομίας και μεταφοράς γνώσης του Ιδρύματος. Η υποβολή προτάσεων γίνεται μέσω της πύλης IRIS του </w:t>
      </w:r>
      <w:proofErr w:type="spellStart"/>
      <w:r w:rsidR="007D7438" w:rsidRPr="007D7438">
        <w:rPr>
          <w:rFonts w:cs="Arial"/>
          <w:bCs/>
          <w:spacing w:val="-14"/>
          <w:w w:val="80"/>
          <w:kern w:val="48"/>
        </w:rPr>
        <w:t>ΙδΕΚ</w:t>
      </w:r>
      <w:proofErr w:type="spellEnd"/>
      <w:r w:rsidR="007D7438" w:rsidRPr="007D7438">
        <w:rPr>
          <w:rFonts w:cs="Arial"/>
          <w:bCs/>
          <w:spacing w:val="-14"/>
          <w:w w:val="80"/>
          <w:kern w:val="48"/>
        </w:rPr>
        <w:t xml:space="preserve"> και η καταληκτική ημερομηνία είναι η 29.3.24.</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D7438" w:rsidRPr="007D7438">
        <w:rPr>
          <w:rFonts w:cs="Arial"/>
          <w:bCs/>
          <w:spacing w:val="-14"/>
          <w:w w:val="80"/>
          <w:kern w:val="48"/>
        </w:rPr>
        <w:t xml:space="preserve">3. Λόγω του αυξημένου ενδιαφέροντος για υποβολή προτάσεων στο πρόγραμμα </w:t>
      </w:r>
      <w:proofErr w:type="spellStart"/>
      <w:r w:rsidR="007D7438" w:rsidRPr="007D7438">
        <w:rPr>
          <w:rFonts w:cs="Arial"/>
          <w:bCs/>
          <w:spacing w:val="-14"/>
          <w:w w:val="80"/>
          <w:kern w:val="48"/>
        </w:rPr>
        <w:t>Disrupt</w:t>
      </w:r>
      <w:proofErr w:type="spellEnd"/>
      <w:r w:rsidR="007D7438" w:rsidRPr="007D7438">
        <w:rPr>
          <w:rFonts w:cs="Arial"/>
          <w:bCs/>
          <w:spacing w:val="-14"/>
          <w:w w:val="80"/>
          <w:kern w:val="48"/>
        </w:rPr>
        <w:t>, το Ίδρυμα Έρευνας και Καινοτομίας ανακοίνωσε</w:t>
      </w:r>
      <w:r w:rsidR="008E291C">
        <w:rPr>
          <w:rFonts w:cs="Arial"/>
          <w:bCs/>
          <w:spacing w:val="-14"/>
          <w:w w:val="80"/>
          <w:kern w:val="48"/>
        </w:rPr>
        <w:t>,</w:t>
      </w:r>
      <w:r w:rsidR="007D7438" w:rsidRPr="007D7438">
        <w:rPr>
          <w:rFonts w:cs="Arial"/>
          <w:bCs/>
          <w:spacing w:val="-14"/>
          <w:w w:val="80"/>
          <w:kern w:val="48"/>
        </w:rPr>
        <w:t xml:space="preserve"> αρχές Δεκεμβρίου 23</w:t>
      </w:r>
      <w:r w:rsidR="008E291C">
        <w:rPr>
          <w:rFonts w:cs="Arial"/>
          <w:bCs/>
          <w:spacing w:val="-14"/>
          <w:w w:val="80"/>
          <w:kern w:val="48"/>
        </w:rPr>
        <w:t>,</w:t>
      </w:r>
      <w:r w:rsidR="007D7438" w:rsidRPr="007D7438">
        <w:rPr>
          <w:rFonts w:cs="Arial"/>
          <w:bCs/>
          <w:spacing w:val="-14"/>
          <w:w w:val="80"/>
          <w:kern w:val="48"/>
        </w:rPr>
        <w:t xml:space="preserve"> νέα καταληκτική ημερομηνία για το πρόγραμμα </w:t>
      </w:r>
      <w:proofErr w:type="spellStart"/>
      <w:r w:rsidR="007D7438" w:rsidRPr="007D7438">
        <w:rPr>
          <w:rFonts w:cs="Arial"/>
          <w:bCs/>
          <w:spacing w:val="-14"/>
          <w:w w:val="80"/>
          <w:kern w:val="48"/>
        </w:rPr>
        <w:t>Disrupt</w:t>
      </w:r>
      <w:proofErr w:type="spellEnd"/>
      <w:r w:rsidR="007D7438" w:rsidRPr="007D7438">
        <w:rPr>
          <w:rFonts w:cs="Arial"/>
          <w:bCs/>
          <w:spacing w:val="-14"/>
          <w:w w:val="80"/>
          <w:kern w:val="48"/>
        </w:rPr>
        <w:t>. Ως νέα καταληκτική (3η καταληκτική) ημερομηνία έχει οριστεί η 22.3.24, με επιπρόσθετο προϋπολογισμό</w:t>
      </w:r>
      <w:r w:rsidR="008F7B11">
        <w:rPr>
          <w:rFonts w:cs="Arial"/>
          <w:bCs/>
          <w:spacing w:val="-14"/>
          <w:w w:val="80"/>
          <w:kern w:val="48"/>
        </w:rPr>
        <w:t xml:space="preserve">, 3 εκ. Ευρώ. Το </w:t>
      </w:r>
      <w:proofErr w:type="spellStart"/>
      <w:r w:rsidR="008F7B11">
        <w:rPr>
          <w:rFonts w:cs="Arial"/>
          <w:bCs/>
          <w:spacing w:val="-14"/>
          <w:w w:val="80"/>
          <w:kern w:val="48"/>
        </w:rPr>
        <w:t>Disrupt</w:t>
      </w:r>
      <w:proofErr w:type="spellEnd"/>
      <w:r w:rsidR="008F7B11">
        <w:rPr>
          <w:rFonts w:cs="Arial"/>
          <w:bCs/>
          <w:spacing w:val="-14"/>
          <w:w w:val="80"/>
          <w:kern w:val="48"/>
        </w:rPr>
        <w:t xml:space="preserve">, είναι </w:t>
      </w:r>
      <w:r w:rsidR="007D7438" w:rsidRPr="007D7438">
        <w:rPr>
          <w:rFonts w:cs="Arial"/>
          <w:bCs/>
          <w:spacing w:val="-14"/>
          <w:w w:val="80"/>
          <w:kern w:val="48"/>
        </w:rPr>
        <w:t>το πρώτο πρόγραμμα μικτής χρηματοδότησης για τα κυπριακά δεδομένα, το οποίο συνδυάζει δημόσια χρηματοδότηση μαζί με ιδιωτικά επενδυτικά κεφαλαία για την υποστήριξη της ανάπτυξης των επιχειρήσεων στις διεθνείς αγορές.</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D7438">
        <w:rPr>
          <w:rFonts w:cs="Arial"/>
          <w:bCs/>
          <w:spacing w:val="-14"/>
          <w:w w:val="80"/>
          <w:kern w:val="48"/>
        </w:rPr>
        <w:t xml:space="preserve"> </w:t>
      </w:r>
      <w:r w:rsidR="007D7438" w:rsidRPr="007D7438">
        <w:rPr>
          <w:rFonts w:cs="Arial"/>
          <w:bCs/>
          <w:spacing w:val="-14"/>
          <w:w w:val="80"/>
          <w:kern w:val="48"/>
        </w:rPr>
        <w:t>4. Επιπρόσθετα, με αυξημένη συμμετοχή ολοκληρώθηκε</w:t>
      </w:r>
      <w:r w:rsidR="008F7B11">
        <w:rPr>
          <w:rFonts w:cs="Arial"/>
          <w:bCs/>
          <w:spacing w:val="-14"/>
          <w:w w:val="80"/>
          <w:kern w:val="48"/>
        </w:rPr>
        <w:t>,</w:t>
      </w:r>
      <w:r w:rsidR="007D7438" w:rsidRPr="007D7438">
        <w:rPr>
          <w:rFonts w:cs="Arial"/>
          <w:bCs/>
          <w:spacing w:val="-14"/>
          <w:w w:val="80"/>
          <w:kern w:val="48"/>
        </w:rPr>
        <w:t xml:space="preserve"> τον Νοέμβριο του 2023, η υποβολή προτάσεων για την τελευταία πρόσκληση του προγράμματος «</w:t>
      </w:r>
      <w:proofErr w:type="spellStart"/>
      <w:r w:rsidR="007D7438" w:rsidRPr="007D7438">
        <w:rPr>
          <w:rFonts w:cs="Arial"/>
          <w:bCs/>
          <w:spacing w:val="-14"/>
          <w:w w:val="80"/>
          <w:kern w:val="48"/>
        </w:rPr>
        <w:t>Pre</w:t>
      </w:r>
      <w:proofErr w:type="spellEnd"/>
      <w:r w:rsidR="007D7438" w:rsidRPr="007D7438">
        <w:rPr>
          <w:rFonts w:cs="Arial"/>
          <w:bCs/>
          <w:spacing w:val="-14"/>
          <w:w w:val="80"/>
          <w:kern w:val="48"/>
        </w:rPr>
        <w:t>-</w:t>
      </w:r>
      <w:proofErr w:type="spellStart"/>
      <w:r w:rsidR="007D7438" w:rsidRPr="007D7438">
        <w:rPr>
          <w:rFonts w:cs="Arial"/>
          <w:bCs/>
          <w:spacing w:val="-14"/>
          <w:w w:val="80"/>
          <w:kern w:val="48"/>
        </w:rPr>
        <w:t>Seed</w:t>
      </w:r>
      <w:proofErr w:type="spellEnd"/>
      <w:r w:rsidR="007D7438" w:rsidRPr="007D7438">
        <w:rPr>
          <w:rFonts w:cs="Arial"/>
          <w:bCs/>
          <w:spacing w:val="-14"/>
          <w:w w:val="80"/>
          <w:kern w:val="48"/>
        </w:rPr>
        <w:t xml:space="preserve">» του </w:t>
      </w:r>
      <w:proofErr w:type="spellStart"/>
      <w:r w:rsidR="007D7438" w:rsidRPr="007D7438">
        <w:rPr>
          <w:rFonts w:cs="Arial"/>
          <w:bCs/>
          <w:spacing w:val="-14"/>
          <w:w w:val="80"/>
          <w:kern w:val="48"/>
        </w:rPr>
        <w:t>ΙδΕΚ</w:t>
      </w:r>
      <w:proofErr w:type="spellEnd"/>
      <w:r w:rsidR="007D7438" w:rsidRPr="007D7438">
        <w:rPr>
          <w:rFonts w:cs="Arial"/>
          <w:bCs/>
          <w:spacing w:val="-14"/>
          <w:w w:val="80"/>
          <w:kern w:val="48"/>
        </w:rPr>
        <w:t>, το οποίο υποστηρίζει νεοφυείς επιχειρήσεις (</w:t>
      </w:r>
      <w:proofErr w:type="spellStart"/>
      <w:r w:rsidR="007D7438" w:rsidRPr="007D7438">
        <w:rPr>
          <w:rFonts w:cs="Arial"/>
          <w:bCs/>
          <w:spacing w:val="-14"/>
          <w:w w:val="80"/>
          <w:kern w:val="48"/>
        </w:rPr>
        <w:t>startups</w:t>
      </w:r>
      <w:proofErr w:type="spellEnd"/>
      <w:r w:rsidR="007D7438" w:rsidRPr="007D7438">
        <w:rPr>
          <w:rFonts w:cs="Arial"/>
          <w:bCs/>
          <w:spacing w:val="-14"/>
          <w:w w:val="80"/>
          <w:kern w:val="48"/>
        </w:rPr>
        <w:t xml:space="preserve">) στα αρχικά στάδια ανάπτυξής τους. Το </w:t>
      </w:r>
      <w:proofErr w:type="spellStart"/>
      <w:r w:rsidR="007D7438" w:rsidRPr="007D7438">
        <w:rPr>
          <w:rFonts w:cs="Arial"/>
          <w:bCs/>
          <w:spacing w:val="-14"/>
          <w:w w:val="80"/>
          <w:kern w:val="48"/>
        </w:rPr>
        <w:t>Pre</w:t>
      </w:r>
      <w:proofErr w:type="spellEnd"/>
      <w:r w:rsidR="007D7438" w:rsidRPr="007D7438">
        <w:rPr>
          <w:rFonts w:cs="Arial"/>
          <w:bCs/>
          <w:spacing w:val="-14"/>
          <w:w w:val="80"/>
          <w:kern w:val="48"/>
        </w:rPr>
        <w:t>-</w:t>
      </w:r>
      <w:proofErr w:type="spellStart"/>
      <w:r w:rsidR="007D7438" w:rsidRPr="007D7438">
        <w:rPr>
          <w:rFonts w:cs="Arial"/>
          <w:bCs/>
          <w:spacing w:val="-14"/>
          <w:w w:val="80"/>
          <w:kern w:val="48"/>
        </w:rPr>
        <w:t>Seed</w:t>
      </w:r>
      <w:proofErr w:type="spellEnd"/>
      <w:r w:rsidR="007D7438" w:rsidRPr="007D7438">
        <w:rPr>
          <w:rFonts w:cs="Arial"/>
          <w:bCs/>
          <w:spacing w:val="-14"/>
          <w:w w:val="80"/>
          <w:kern w:val="48"/>
        </w:rPr>
        <w:t xml:space="preserve"> χρηματοδοτείται από το Εθνικό Σχέδιο Ανάκαμψης και Ανθεκτικότητας «Κύπρος το Αύριο». Συνολικά, υποβλήθηκαν επιτυχώς, μέσω της διαδικτυακής πύλης IRIS 134 προτάσεις, εκ των οποίων 106, από νεοσύστατες επιχειρήσεις, που συμμετείχαν για πρώτη φορά στο πρόγραμμα. Ιδιαίτερα ενθαρρυντικό είναι το γεγονός ότι ο συνολικός αριθμός των προτάσεων ξεπέρασε, κατά πολύ</w:t>
      </w:r>
      <w:r w:rsidR="00E365AB">
        <w:rPr>
          <w:rFonts w:cs="Arial"/>
          <w:bCs/>
          <w:spacing w:val="-14"/>
          <w:w w:val="80"/>
          <w:kern w:val="48"/>
        </w:rPr>
        <w:t xml:space="preserve"> </w:t>
      </w:r>
      <w:r w:rsidR="00E365AB" w:rsidRPr="007D7438">
        <w:rPr>
          <w:rFonts w:cs="Arial"/>
          <w:bCs/>
          <w:spacing w:val="-14"/>
          <w:w w:val="80"/>
          <w:kern w:val="48"/>
        </w:rPr>
        <w:t>(90 συμμετοχές)</w:t>
      </w:r>
      <w:r w:rsidR="007D7438" w:rsidRPr="007D7438">
        <w:rPr>
          <w:rFonts w:cs="Arial"/>
          <w:bCs/>
          <w:spacing w:val="-14"/>
          <w:w w:val="80"/>
          <w:kern w:val="48"/>
        </w:rPr>
        <w:t xml:space="preserve">, τον αντίστοιχο του προηγούμενου κύκλου του </w:t>
      </w:r>
      <w:proofErr w:type="spellStart"/>
      <w:r w:rsidR="007D7438" w:rsidRPr="007D7438">
        <w:rPr>
          <w:rFonts w:cs="Arial"/>
          <w:bCs/>
          <w:spacing w:val="-14"/>
          <w:w w:val="80"/>
          <w:kern w:val="48"/>
        </w:rPr>
        <w:t>Pre</w:t>
      </w:r>
      <w:proofErr w:type="spellEnd"/>
      <w:r w:rsidR="007D7438" w:rsidRPr="007D7438">
        <w:rPr>
          <w:rFonts w:cs="Arial"/>
          <w:bCs/>
          <w:spacing w:val="-14"/>
          <w:w w:val="80"/>
          <w:kern w:val="48"/>
        </w:rPr>
        <w:t>-</w:t>
      </w:r>
      <w:proofErr w:type="spellStart"/>
      <w:r w:rsidR="007D7438" w:rsidRPr="007D7438">
        <w:rPr>
          <w:rFonts w:cs="Arial"/>
          <w:bCs/>
          <w:spacing w:val="-14"/>
          <w:w w:val="80"/>
          <w:kern w:val="48"/>
        </w:rPr>
        <w:t>Seed</w:t>
      </w:r>
      <w:proofErr w:type="spellEnd"/>
      <w:r w:rsidR="00E365AB">
        <w:rPr>
          <w:rFonts w:cs="Arial"/>
          <w:bCs/>
          <w:spacing w:val="-14"/>
          <w:w w:val="80"/>
          <w:kern w:val="48"/>
        </w:rPr>
        <w:t>,</w:t>
      </w:r>
      <w:r w:rsidR="007D7438" w:rsidRPr="007D7438">
        <w:rPr>
          <w:rFonts w:cs="Arial"/>
          <w:bCs/>
          <w:spacing w:val="-14"/>
          <w:w w:val="80"/>
          <w:kern w:val="48"/>
        </w:rPr>
        <w:t xml:space="preserve"> το 2021. Η διαδικασία επιλογής των προτάσεων, που θα χρηματοδοτηθούν αναμένεται να ολοκληρωθεί</w:t>
      </w:r>
      <w:r w:rsidR="00E365AB">
        <w:rPr>
          <w:rFonts w:cs="Arial"/>
          <w:bCs/>
          <w:spacing w:val="-14"/>
          <w:w w:val="80"/>
          <w:kern w:val="48"/>
        </w:rPr>
        <w:t>,</w:t>
      </w:r>
      <w:r w:rsidR="007D7438" w:rsidRPr="007D7438">
        <w:rPr>
          <w:rFonts w:cs="Arial"/>
          <w:bCs/>
          <w:spacing w:val="-14"/>
          <w:w w:val="80"/>
          <w:kern w:val="48"/>
        </w:rPr>
        <w:t xml:space="preserve"> εντός του </w:t>
      </w:r>
      <w:proofErr w:type="spellStart"/>
      <w:r w:rsidR="007D7438" w:rsidRPr="007D7438">
        <w:rPr>
          <w:rFonts w:cs="Arial"/>
          <w:bCs/>
          <w:spacing w:val="-14"/>
          <w:w w:val="80"/>
          <w:kern w:val="48"/>
        </w:rPr>
        <w:t>α΄</w:t>
      </w:r>
      <w:proofErr w:type="spellEnd"/>
      <w:r w:rsidR="007D7438" w:rsidRPr="007D7438">
        <w:rPr>
          <w:rFonts w:cs="Arial"/>
          <w:bCs/>
          <w:spacing w:val="-14"/>
          <w:w w:val="80"/>
          <w:kern w:val="48"/>
        </w:rPr>
        <w:t xml:space="preserve"> εξαμήνου του 2024.</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lastRenderedPageBreak/>
        <w:t xml:space="preserve">      </w:t>
      </w:r>
      <w:r w:rsidR="007D7438" w:rsidRPr="007D7438">
        <w:rPr>
          <w:rFonts w:cs="Arial"/>
          <w:bCs/>
          <w:spacing w:val="-14"/>
          <w:w w:val="80"/>
          <w:kern w:val="48"/>
        </w:rPr>
        <w:t xml:space="preserve">Νέα επιχειρηματικά εγχειρήματα θα εξασφαλίσουν χρηματοδότηση, που φθάνει μέχρι και τις 119.999 Ευρώ, για να αναπτύξουν περαιτέρω τις καινοτόμες ιδέες τους και να δημιουργήσουν προϊόντα και υπηρεσίες με προοπτικές στις διεθνείς αγορές. Παράλληλα, το </w:t>
      </w:r>
      <w:proofErr w:type="spellStart"/>
      <w:r w:rsidR="007D7438" w:rsidRPr="007D7438">
        <w:rPr>
          <w:rFonts w:cs="Arial"/>
          <w:bCs/>
          <w:spacing w:val="-14"/>
          <w:w w:val="80"/>
          <w:kern w:val="48"/>
        </w:rPr>
        <w:t>ΙδΕΚ</w:t>
      </w:r>
      <w:proofErr w:type="spellEnd"/>
      <w:r w:rsidR="007D7438" w:rsidRPr="007D7438">
        <w:rPr>
          <w:rFonts w:cs="Arial"/>
          <w:bCs/>
          <w:spacing w:val="-14"/>
          <w:w w:val="80"/>
          <w:kern w:val="48"/>
        </w:rPr>
        <w:t xml:space="preserve"> παρέχει </w:t>
      </w:r>
      <w:r w:rsidR="007D7438" w:rsidRPr="008F7B11">
        <w:rPr>
          <w:rFonts w:cs="Arial"/>
          <w:bCs/>
          <w:spacing w:val="-14"/>
          <w:w w:val="80"/>
          <w:kern w:val="48"/>
        </w:rPr>
        <w:t>δωρεάν στους δικαιούχους του υποστηρικτικές υπηρεσίες καινοτομίας και μεταφοράς γνώσης, που ενισχύουν τις προοπτικές επιτυχίας και θέτουν τις βάσεις για τη δημιουργία βιώσιμων επιχειρήσεων.</w:t>
      </w:r>
      <w:r w:rsidR="007D7438" w:rsidRPr="007D7438">
        <w:rPr>
          <w:rFonts w:cs="Arial"/>
          <w:bCs/>
          <w:spacing w:val="-14"/>
          <w:w w:val="80"/>
          <w:kern w:val="48"/>
        </w:rPr>
        <w:t xml:space="preserve"> Από το 2019, όταν και προκηρύχθηκε, για πρώτη φορά, το πρόγραμμα, έχουν εκταμιευθεί ποσά</w:t>
      </w:r>
      <w:r w:rsidR="008F7B11">
        <w:rPr>
          <w:rFonts w:cs="Arial"/>
          <w:bCs/>
          <w:spacing w:val="-14"/>
          <w:w w:val="80"/>
          <w:kern w:val="48"/>
        </w:rPr>
        <w:t>,</w:t>
      </w:r>
      <w:r w:rsidR="007D7438" w:rsidRPr="007D7438">
        <w:rPr>
          <w:rFonts w:cs="Arial"/>
          <w:bCs/>
          <w:spacing w:val="-14"/>
          <w:w w:val="80"/>
          <w:kern w:val="48"/>
        </w:rPr>
        <w:t xml:space="preserve"> πέραν των 3,5 εκ. Ευρώ</w:t>
      </w:r>
      <w:r w:rsidR="00E365AB">
        <w:rPr>
          <w:rFonts w:cs="Arial"/>
          <w:bCs/>
          <w:spacing w:val="-14"/>
          <w:w w:val="80"/>
          <w:kern w:val="48"/>
        </w:rPr>
        <w:t>,</w:t>
      </w:r>
      <w:r w:rsidR="007D7438" w:rsidRPr="007D7438">
        <w:rPr>
          <w:rFonts w:cs="Arial"/>
          <w:bCs/>
          <w:spacing w:val="-14"/>
          <w:w w:val="80"/>
          <w:kern w:val="48"/>
        </w:rPr>
        <w:t xml:space="preserve"> σε 35 </w:t>
      </w:r>
      <w:proofErr w:type="spellStart"/>
      <w:r w:rsidR="007D7438" w:rsidRPr="007D7438">
        <w:rPr>
          <w:rFonts w:cs="Arial"/>
          <w:bCs/>
          <w:spacing w:val="-14"/>
          <w:w w:val="80"/>
          <w:kern w:val="48"/>
        </w:rPr>
        <w:t>startups</w:t>
      </w:r>
      <w:proofErr w:type="spellEnd"/>
      <w:r w:rsidR="007D7438" w:rsidRPr="007D7438">
        <w:rPr>
          <w:rFonts w:cs="Arial"/>
          <w:bCs/>
          <w:spacing w:val="-14"/>
          <w:w w:val="80"/>
          <w:kern w:val="48"/>
        </w:rPr>
        <w:t xml:space="preserve"> και δημιουργήθηκαν</w:t>
      </w:r>
      <w:r w:rsidR="008F7B11">
        <w:rPr>
          <w:rFonts w:cs="Arial"/>
          <w:bCs/>
          <w:spacing w:val="-14"/>
          <w:w w:val="80"/>
          <w:kern w:val="48"/>
        </w:rPr>
        <w:t>,</w:t>
      </w:r>
      <w:r w:rsidR="007D7438" w:rsidRPr="007D7438">
        <w:rPr>
          <w:rFonts w:cs="Arial"/>
          <w:bCs/>
          <w:spacing w:val="-14"/>
          <w:w w:val="80"/>
          <w:kern w:val="48"/>
        </w:rPr>
        <w:t xml:space="preserve"> πλέον των 75  θέσεων εργασίας. Μάλιστα</w:t>
      </w:r>
      <w:r w:rsidR="008F7B11">
        <w:rPr>
          <w:rFonts w:cs="Arial"/>
          <w:bCs/>
          <w:spacing w:val="-14"/>
          <w:w w:val="80"/>
          <w:kern w:val="48"/>
        </w:rPr>
        <w:t>, μία στις τέσσερις κ/</w:t>
      </w:r>
      <w:r w:rsidR="007D7438" w:rsidRPr="007D7438">
        <w:rPr>
          <w:rFonts w:cs="Arial"/>
          <w:bCs/>
          <w:spacing w:val="-14"/>
          <w:w w:val="80"/>
          <w:kern w:val="48"/>
        </w:rPr>
        <w:t xml:space="preserve">startups που χρηματοδοτήθηκαν στον πρώτο κύκλο, κατάφεραν να εξασφαλίσουν σημαντικά έσοδα, μέσω πωλήσεων ή και επενδύσεων, από ιδιωτικά κεφάλαια από Κύπρο και εξωτερικό. Το μεγάλο ενδιαφέρον για το πρόγραμμα είναι ενδεικτικό των βημάτων της Κύπρου στον τομέα των </w:t>
      </w:r>
      <w:proofErr w:type="spellStart"/>
      <w:r w:rsidR="007D7438" w:rsidRPr="007D7438">
        <w:rPr>
          <w:rFonts w:cs="Arial"/>
          <w:bCs/>
          <w:spacing w:val="-14"/>
          <w:w w:val="80"/>
          <w:kern w:val="48"/>
        </w:rPr>
        <w:t>startups</w:t>
      </w:r>
      <w:proofErr w:type="spellEnd"/>
      <w:r w:rsidR="007D7438" w:rsidRPr="007D7438">
        <w:rPr>
          <w:rFonts w:cs="Arial"/>
          <w:bCs/>
          <w:spacing w:val="-14"/>
          <w:w w:val="80"/>
          <w:kern w:val="48"/>
        </w:rPr>
        <w:t>, επιχειρήσεων, οι οποίες μελλοντικά θα διαφοροποιήσουν το μείγμα της κ</w:t>
      </w:r>
      <w:r w:rsidR="00E365AB">
        <w:rPr>
          <w:rFonts w:cs="Arial"/>
          <w:bCs/>
          <w:spacing w:val="-14"/>
          <w:w w:val="80"/>
          <w:kern w:val="48"/>
        </w:rPr>
        <w:t>/</w:t>
      </w:r>
      <w:r w:rsidR="007D7438" w:rsidRPr="007D7438">
        <w:rPr>
          <w:rFonts w:cs="Arial"/>
          <w:bCs/>
          <w:spacing w:val="-14"/>
          <w:w w:val="80"/>
          <w:kern w:val="48"/>
        </w:rPr>
        <w:t>οικονομίας. Οι νεοφυείς επιχειρήσεις αποτελούν πηγή επενδύσεων και νέων θέσεων εργασίας και αύξησης των εξαγωγών προϊόντων υψηλής τεχνολογίας.</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rFonts w:cs="Arial"/>
          <w:bCs/>
          <w:spacing w:val="-14"/>
          <w:w w:val="80"/>
          <w:kern w:val="48"/>
        </w:rPr>
      </w:pPr>
      <w:r>
        <w:rPr>
          <w:b/>
          <w:color w:val="0070C0"/>
          <w:spacing w:val="-14"/>
          <w:w w:val="80"/>
          <w:kern w:val="48"/>
        </w:rPr>
        <w:t xml:space="preserve">      </w:t>
      </w:r>
      <w:r w:rsidR="007D7438" w:rsidRPr="007D7438">
        <w:rPr>
          <w:rFonts w:cs="Arial"/>
          <w:bCs/>
          <w:spacing w:val="-14"/>
          <w:w w:val="80"/>
          <w:kern w:val="48"/>
        </w:rPr>
        <w:t xml:space="preserve">5. Όπως </w:t>
      </w:r>
      <w:proofErr w:type="spellStart"/>
      <w:r w:rsidR="007D7438" w:rsidRPr="007D7438">
        <w:rPr>
          <w:rFonts w:cs="Arial"/>
          <w:bCs/>
          <w:spacing w:val="-14"/>
          <w:w w:val="80"/>
          <w:kern w:val="48"/>
        </w:rPr>
        <w:t>προανεφέρθη</w:t>
      </w:r>
      <w:proofErr w:type="spellEnd"/>
      <w:r w:rsidR="008F7B11">
        <w:rPr>
          <w:rFonts w:cs="Arial"/>
          <w:bCs/>
          <w:spacing w:val="-14"/>
          <w:w w:val="80"/>
          <w:kern w:val="48"/>
        </w:rPr>
        <w:t>,</w:t>
      </w:r>
      <w:r w:rsidR="007D7438" w:rsidRPr="007D7438">
        <w:rPr>
          <w:rFonts w:cs="Arial"/>
          <w:bCs/>
          <w:spacing w:val="-14"/>
          <w:w w:val="80"/>
          <w:kern w:val="48"/>
        </w:rPr>
        <w:t xml:space="preserve"> το (</w:t>
      </w:r>
      <w:proofErr w:type="spellStart"/>
      <w:r w:rsidR="007D7438" w:rsidRPr="007D7438">
        <w:rPr>
          <w:rFonts w:cs="Arial"/>
          <w:bCs/>
          <w:spacing w:val="-14"/>
          <w:w w:val="80"/>
          <w:kern w:val="48"/>
        </w:rPr>
        <w:t>α΄</w:t>
      </w:r>
      <w:proofErr w:type="spellEnd"/>
      <w:r w:rsidR="007D7438" w:rsidRPr="007D7438">
        <w:rPr>
          <w:rFonts w:cs="Arial"/>
          <w:bCs/>
          <w:spacing w:val="-14"/>
          <w:w w:val="80"/>
          <w:kern w:val="48"/>
        </w:rPr>
        <w:t xml:space="preserve"> εξάμηνο) του 2024</w:t>
      </w:r>
      <w:r w:rsidR="00E365AB">
        <w:rPr>
          <w:rFonts w:cs="Arial"/>
          <w:bCs/>
          <w:spacing w:val="-14"/>
          <w:w w:val="80"/>
          <w:kern w:val="48"/>
        </w:rPr>
        <w:t>,</w:t>
      </w:r>
      <w:r w:rsidR="007D7438" w:rsidRPr="007D7438">
        <w:rPr>
          <w:rFonts w:cs="Arial"/>
          <w:bCs/>
          <w:spacing w:val="-14"/>
          <w:w w:val="80"/>
          <w:kern w:val="48"/>
        </w:rPr>
        <w:t xml:space="preserve"> αναμένεται η προκήρυξη του INNOVATE, που αποσκοπεί στην υποστήριξη υφιστάμενων επιχειρήσεων όλων των τομέων δραστηριοτήτων, με επενδύσεις σε έρευνα και καινοτομία, για την ανάπτυξη ανταγωνιστικών καινοτόμων προϊόντων ή υπηρεσιών, με προοπτικές τοποθέτησης στις διεθνείς αγορές</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rFonts w:cs="Arial"/>
          <w:bCs/>
          <w:spacing w:val="-14"/>
          <w:w w:val="80"/>
          <w:kern w:val="48"/>
        </w:rPr>
      </w:pPr>
    </w:p>
    <w:p w:rsidR="004C4036" w:rsidRDefault="001C451D"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0070C0"/>
          <w:spacing w:val="-14"/>
          <w:w w:val="80"/>
          <w:kern w:val="48"/>
        </w:rPr>
        <w:t xml:space="preserve">5. </w:t>
      </w:r>
      <w:r w:rsidR="008E0099" w:rsidRPr="00B77D7A">
        <w:rPr>
          <w:rFonts w:cs="Arial"/>
          <w:b/>
          <w:color w:val="0070C0"/>
          <w:spacing w:val="-14"/>
          <w:w w:val="80"/>
          <w:kern w:val="48"/>
        </w:rPr>
        <w:t xml:space="preserve">ΕΠΕΝΔΥΣΕΙΣ </w:t>
      </w:r>
      <w:r w:rsidR="00161B49" w:rsidRPr="00B77D7A">
        <w:rPr>
          <w:rFonts w:cs="Arial"/>
          <w:b/>
          <w:color w:val="0070C0"/>
          <w:spacing w:val="-14"/>
          <w:w w:val="80"/>
          <w:kern w:val="48"/>
        </w:rPr>
        <w:t xml:space="preserve"> - ΕΠΙΧΕΙΡΗΜΑΤΙΚΟΤΗΤΑ</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4C4036" w:rsidRDefault="0076721E"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0070C0"/>
          <w:spacing w:val="-14"/>
          <w:w w:val="80"/>
          <w:kern w:val="48"/>
        </w:rPr>
        <w:t xml:space="preserve">5.1. </w:t>
      </w:r>
      <w:r w:rsidR="001A454A" w:rsidRPr="00B77D7A">
        <w:rPr>
          <w:rFonts w:cs="Arial"/>
          <w:b/>
          <w:color w:val="0070C0"/>
          <w:spacing w:val="-14"/>
          <w:w w:val="80"/>
          <w:kern w:val="48"/>
        </w:rPr>
        <w:t xml:space="preserve"> </w:t>
      </w:r>
      <w:r w:rsidR="007E27FF" w:rsidRPr="00B77D7A">
        <w:rPr>
          <w:rFonts w:cs="Arial"/>
          <w:b/>
          <w:bCs/>
          <w:color w:val="0070C0"/>
          <w:spacing w:val="-14"/>
          <w:w w:val="80"/>
          <w:kern w:val="48"/>
        </w:rPr>
        <w:t>Εξελίξεις στην κτηματομεσιτική αγορά στην Κύπρο το 2023</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E27FF" w:rsidRPr="007E27FF">
        <w:rPr>
          <w:rFonts w:cs="Arial"/>
          <w:spacing w:val="-14"/>
          <w:w w:val="80"/>
          <w:kern w:val="48"/>
        </w:rPr>
        <w:t>Η ρευστότητα στην διεθνή οικονομία και οι πολεμικές συγκρούσεις της τελευταίας τριετίας έχουν προκαλέσει σημαντικές ανακατατάξεις στην κτηματομεσιτική αγορά, και ιδιαίτερα στον τομέα των ακινήτων, με σημαντικές δευτερογενείς επιπτώσεις</w:t>
      </w:r>
      <w:r w:rsidR="008F7B11">
        <w:rPr>
          <w:rFonts w:cs="Arial"/>
          <w:spacing w:val="-14"/>
          <w:w w:val="80"/>
          <w:kern w:val="48"/>
        </w:rPr>
        <w:t>,</w:t>
      </w:r>
      <w:r w:rsidR="007E27FF" w:rsidRPr="007E27FF">
        <w:rPr>
          <w:rFonts w:cs="Arial"/>
          <w:spacing w:val="-14"/>
          <w:w w:val="80"/>
          <w:kern w:val="48"/>
        </w:rPr>
        <w:t xml:space="preserve"> σε όλο το φάσμα της οικονομικής δραστηριότητας. Ειδικότερα, οι εξελίξεις του 2023 στον τομέα των ακινήτων</w:t>
      </w:r>
      <w:r w:rsidR="00E365AB">
        <w:rPr>
          <w:rFonts w:cs="Arial"/>
          <w:spacing w:val="-14"/>
          <w:w w:val="80"/>
          <w:kern w:val="48"/>
        </w:rPr>
        <w:t>,</w:t>
      </w:r>
      <w:r w:rsidR="007E27FF" w:rsidRPr="007E27FF">
        <w:rPr>
          <w:rFonts w:cs="Arial"/>
          <w:spacing w:val="-14"/>
          <w:w w:val="80"/>
          <w:kern w:val="48"/>
        </w:rPr>
        <w:t xml:space="preserve"> σε παγκόσμιο επίπεδο</w:t>
      </w:r>
      <w:r w:rsidR="00E365AB">
        <w:rPr>
          <w:rFonts w:cs="Arial"/>
          <w:spacing w:val="-14"/>
          <w:w w:val="80"/>
          <w:kern w:val="48"/>
        </w:rPr>
        <w:t>,</w:t>
      </w:r>
      <w:r w:rsidR="007E27FF" w:rsidRPr="007E27FF">
        <w:rPr>
          <w:rFonts w:cs="Arial"/>
          <w:spacing w:val="-14"/>
          <w:w w:val="80"/>
          <w:kern w:val="48"/>
        </w:rPr>
        <w:t xml:space="preserve"> επηρέασαν</w:t>
      </w:r>
      <w:r w:rsidR="00E365AB">
        <w:rPr>
          <w:rFonts w:cs="Arial"/>
          <w:spacing w:val="-14"/>
          <w:w w:val="80"/>
          <w:kern w:val="48"/>
        </w:rPr>
        <w:t>,</w:t>
      </w:r>
      <w:r w:rsidR="007E27FF" w:rsidRPr="007E27FF">
        <w:rPr>
          <w:rFonts w:cs="Arial"/>
          <w:spacing w:val="-14"/>
          <w:w w:val="80"/>
          <w:kern w:val="48"/>
        </w:rPr>
        <w:t xml:space="preserve"> σε αρκετό βαθμό</w:t>
      </w:r>
      <w:r w:rsidR="00E365AB">
        <w:rPr>
          <w:rFonts w:cs="Arial"/>
          <w:spacing w:val="-14"/>
          <w:w w:val="80"/>
          <w:kern w:val="48"/>
        </w:rPr>
        <w:t>,</w:t>
      </w:r>
      <w:r w:rsidR="007E27FF" w:rsidRPr="007E27FF">
        <w:rPr>
          <w:rFonts w:cs="Arial"/>
          <w:spacing w:val="-14"/>
          <w:w w:val="80"/>
          <w:kern w:val="48"/>
        </w:rPr>
        <w:t xml:space="preserve"> και την Κύπρο, χωρίς</w:t>
      </w:r>
      <w:r w:rsidR="00E365AB">
        <w:rPr>
          <w:rFonts w:cs="Arial"/>
          <w:spacing w:val="-14"/>
          <w:w w:val="80"/>
          <w:kern w:val="48"/>
        </w:rPr>
        <w:t>,</w:t>
      </w:r>
      <w:r w:rsidR="007E27FF" w:rsidRPr="007E27FF">
        <w:rPr>
          <w:rFonts w:cs="Arial"/>
          <w:spacing w:val="-14"/>
          <w:w w:val="80"/>
          <w:kern w:val="48"/>
        </w:rPr>
        <w:t xml:space="preserve"> </w:t>
      </w:r>
      <w:r w:rsidR="00E365AB">
        <w:rPr>
          <w:rFonts w:cs="Arial"/>
          <w:spacing w:val="-14"/>
          <w:w w:val="80"/>
          <w:kern w:val="48"/>
        </w:rPr>
        <w:t>όμως,</w:t>
      </w:r>
      <w:r w:rsidR="007E27FF" w:rsidRPr="007E27FF">
        <w:rPr>
          <w:rFonts w:cs="Arial"/>
          <w:spacing w:val="-14"/>
          <w:w w:val="80"/>
          <w:kern w:val="48"/>
        </w:rPr>
        <w:t xml:space="preserve"> να ανακόψουν</w:t>
      </w:r>
      <w:r w:rsidR="008F7B11">
        <w:rPr>
          <w:rFonts w:cs="Arial"/>
          <w:spacing w:val="-14"/>
          <w:w w:val="80"/>
          <w:kern w:val="48"/>
        </w:rPr>
        <w:t>,</w:t>
      </w:r>
      <w:r w:rsidR="007E27FF" w:rsidRPr="007E27FF">
        <w:rPr>
          <w:rFonts w:cs="Arial"/>
          <w:spacing w:val="-14"/>
          <w:w w:val="80"/>
          <w:kern w:val="48"/>
        </w:rPr>
        <w:t xml:space="preserve"> προς το παρόν</w:t>
      </w:r>
      <w:r w:rsidR="008F7B11">
        <w:rPr>
          <w:rFonts w:cs="Arial"/>
          <w:spacing w:val="-14"/>
          <w:w w:val="80"/>
          <w:kern w:val="48"/>
        </w:rPr>
        <w:t>,</w:t>
      </w:r>
      <w:r w:rsidR="007E27FF" w:rsidRPr="007E27FF">
        <w:rPr>
          <w:rFonts w:cs="Arial"/>
          <w:spacing w:val="-14"/>
          <w:w w:val="80"/>
          <w:kern w:val="48"/>
        </w:rPr>
        <w:t xml:space="preserve"> τη δυναμική της πορεία</w:t>
      </w:r>
      <w:r w:rsidR="00E365AB">
        <w:rPr>
          <w:rFonts w:cs="Arial"/>
          <w:spacing w:val="-14"/>
          <w:w w:val="80"/>
          <w:kern w:val="48"/>
        </w:rPr>
        <w:t>,</w:t>
      </w:r>
      <w:r w:rsidR="007E27FF" w:rsidRPr="007E27FF">
        <w:rPr>
          <w:rFonts w:cs="Arial"/>
          <w:spacing w:val="-14"/>
          <w:w w:val="80"/>
          <w:kern w:val="48"/>
        </w:rPr>
        <w:t xml:space="preserve"> των τελευταίων ετών. Αντίθετα</w:t>
      </w:r>
      <w:r w:rsidR="008F7B11">
        <w:rPr>
          <w:rFonts w:cs="Arial"/>
          <w:spacing w:val="-14"/>
          <w:w w:val="80"/>
          <w:kern w:val="48"/>
        </w:rPr>
        <w:t>,</w:t>
      </w:r>
      <w:r w:rsidR="007E27FF" w:rsidRPr="007E27FF">
        <w:rPr>
          <w:rFonts w:cs="Arial"/>
          <w:spacing w:val="-14"/>
          <w:w w:val="80"/>
          <w:kern w:val="48"/>
        </w:rPr>
        <w:t xml:space="preserve"> μάλιστα</w:t>
      </w:r>
      <w:r w:rsidR="008F7B11">
        <w:rPr>
          <w:rFonts w:cs="Arial"/>
          <w:spacing w:val="-14"/>
          <w:w w:val="80"/>
          <w:kern w:val="48"/>
        </w:rPr>
        <w:t>,</w:t>
      </w:r>
      <w:r w:rsidR="007E27FF" w:rsidRPr="007E27FF">
        <w:rPr>
          <w:rFonts w:cs="Arial"/>
          <w:spacing w:val="-14"/>
          <w:w w:val="80"/>
          <w:kern w:val="48"/>
        </w:rPr>
        <w:t xml:space="preserve"> οι εξελίξεις αυτές βοήθησαν να αναπτυχθεί</w:t>
      </w:r>
      <w:r w:rsidR="00E365AB">
        <w:rPr>
          <w:rFonts w:cs="Arial"/>
          <w:spacing w:val="-14"/>
          <w:w w:val="80"/>
          <w:kern w:val="48"/>
        </w:rPr>
        <w:t>,</w:t>
      </w:r>
      <w:r w:rsidR="007E27FF" w:rsidRPr="007E27FF">
        <w:rPr>
          <w:rFonts w:cs="Arial"/>
          <w:spacing w:val="-14"/>
          <w:w w:val="80"/>
          <w:kern w:val="48"/>
        </w:rPr>
        <w:t xml:space="preserve"> περαιτέρω</w:t>
      </w:r>
      <w:r w:rsidR="00E365AB">
        <w:rPr>
          <w:rFonts w:cs="Arial"/>
          <w:spacing w:val="-14"/>
          <w:w w:val="80"/>
          <w:kern w:val="48"/>
        </w:rPr>
        <w:t>,</w:t>
      </w:r>
      <w:r w:rsidR="007E27FF" w:rsidRPr="007E27FF">
        <w:rPr>
          <w:rFonts w:cs="Arial"/>
          <w:spacing w:val="-14"/>
          <w:w w:val="80"/>
          <w:kern w:val="48"/>
        </w:rPr>
        <w:t xml:space="preserve"> η ανταγωνιστικότητα του τομέα των ακινήτων και σε συνδυασμό με την τεχνολογική πρόοδο των τελευταίων ετών, αλλά και τις προοπτικές για περαιτέρω τεχνολογική αναβάθμιση εκτιμάται ότι θα συμβάλουν στη διατήρηση της δυναμικής του τομέα.</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rFonts w:cs="Arial"/>
          <w:spacing w:val="-14"/>
          <w:w w:val="80"/>
          <w:kern w:val="48"/>
        </w:rPr>
      </w:pPr>
      <w:r>
        <w:rPr>
          <w:b/>
          <w:color w:val="0070C0"/>
          <w:spacing w:val="-14"/>
          <w:w w:val="80"/>
          <w:kern w:val="48"/>
        </w:rPr>
        <w:t xml:space="preserve">      </w:t>
      </w:r>
      <w:r w:rsidR="007E27FF" w:rsidRPr="007E27FF">
        <w:rPr>
          <w:rFonts w:cs="Arial"/>
          <w:spacing w:val="-14"/>
          <w:w w:val="80"/>
          <w:kern w:val="48"/>
        </w:rPr>
        <w:t>Οι κύριες προκλήσεις στον τομέα των ακινήτων</w:t>
      </w:r>
      <w:r w:rsidR="008F7B11">
        <w:rPr>
          <w:rFonts w:cs="Arial"/>
          <w:spacing w:val="-14"/>
          <w:w w:val="80"/>
          <w:kern w:val="48"/>
        </w:rPr>
        <w:t>,</w:t>
      </w:r>
      <w:r w:rsidR="007E27FF" w:rsidRPr="007E27FF">
        <w:rPr>
          <w:rFonts w:cs="Arial"/>
          <w:spacing w:val="-14"/>
          <w:w w:val="80"/>
          <w:kern w:val="48"/>
        </w:rPr>
        <w:t xml:space="preserve"> αυτή την εποχή (οι συρράξεις σε Ουκρανία και Μέση Ανατολή) έχουν το αποτύπωμά τους και στον τουρισμό και την κτηματομεσιτική αγορά</w:t>
      </w:r>
      <w:r w:rsidR="00E365AB">
        <w:rPr>
          <w:rFonts w:cs="Arial"/>
          <w:spacing w:val="-14"/>
          <w:w w:val="80"/>
          <w:kern w:val="48"/>
        </w:rPr>
        <w:t>,</w:t>
      </w:r>
      <w:r w:rsidR="007E27FF" w:rsidRPr="007E27FF">
        <w:rPr>
          <w:rFonts w:cs="Arial"/>
          <w:spacing w:val="-14"/>
          <w:w w:val="80"/>
          <w:kern w:val="48"/>
        </w:rPr>
        <w:t xml:space="preserve"> εμμέσως. Επιπρόσθετα, η  απότομη αύξηση στα δανειστικά επιτόκια, το αυξημένο κατασκευαστικό κόστος, που αποτελεί μείζονα ανασταλτικό παράγοντα για νοικοκυριά και επιχειρήσεις, αλλά και η πρόσφατη αλλαγή του ΦΠΑ στην πρώτη κατοικία αναμένεται να επηρεάσουν</w:t>
      </w:r>
      <w:r w:rsidR="00E365AB">
        <w:rPr>
          <w:rFonts w:cs="Arial"/>
          <w:spacing w:val="-14"/>
          <w:w w:val="80"/>
          <w:kern w:val="48"/>
        </w:rPr>
        <w:t>,</w:t>
      </w:r>
      <w:r w:rsidR="007E27FF" w:rsidRPr="007E27FF">
        <w:rPr>
          <w:rFonts w:cs="Arial"/>
          <w:spacing w:val="-14"/>
          <w:w w:val="80"/>
          <w:kern w:val="48"/>
        </w:rPr>
        <w:t xml:space="preserve"> σε μεγάλο βαθμό</w:t>
      </w:r>
      <w:r w:rsidR="00E365AB">
        <w:rPr>
          <w:rFonts w:cs="Arial"/>
          <w:spacing w:val="-14"/>
          <w:w w:val="80"/>
          <w:kern w:val="48"/>
        </w:rPr>
        <w:t>,</w:t>
      </w:r>
      <w:r w:rsidR="007E27FF" w:rsidRPr="007E27FF">
        <w:rPr>
          <w:rFonts w:cs="Arial"/>
          <w:spacing w:val="-14"/>
          <w:w w:val="80"/>
          <w:kern w:val="48"/>
        </w:rPr>
        <w:t xml:space="preserve"> τις μελλοντικές αναπτύξεις.</w:t>
      </w:r>
      <w:r>
        <w:rPr>
          <w:rFonts w:cs="Arial"/>
          <w:spacing w:val="-14"/>
          <w:w w:val="80"/>
          <w:kern w:val="48"/>
        </w:rPr>
        <w:t>.</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rFonts w:cs="Arial"/>
          <w:spacing w:val="-14"/>
          <w:w w:val="80"/>
          <w:kern w:val="48"/>
        </w:rPr>
        <w:t xml:space="preserve">      </w:t>
      </w:r>
      <w:r w:rsidR="0031463D">
        <w:rPr>
          <w:rFonts w:cs="Arial"/>
          <w:spacing w:val="-14"/>
          <w:w w:val="80"/>
          <w:kern w:val="48"/>
        </w:rPr>
        <w:t xml:space="preserve"> </w:t>
      </w:r>
      <w:r w:rsidR="007E27FF" w:rsidRPr="007E27FF">
        <w:rPr>
          <w:rFonts w:cs="Arial"/>
          <w:spacing w:val="-14"/>
          <w:w w:val="80"/>
          <w:kern w:val="48"/>
        </w:rPr>
        <w:t>Γενικότερα, η  επένδυση σε ακίνητα στην Κύπρο θεωρείται ακόμα ενεργή, κυρίως στα οικιστικά και τα τουριστικά ακίνητα. Παρατηρούμε ότι η δυναμική ζήτησης και προσφοράς είναι πολύ ελκυστική για τους επενδυτές και αυτό φαίνεται από την ανοδική τάση του Δείκτη Ακινήτων Κύπρου, η οποία συνεχίστηκε και το τρίτο τρίμηνο του 2023, αλλά και το συνεχιζόμενο πολύ χαμηλό απόθεμα οικιστικών μονάδων, ιδιαίτερα στις παραλιακές πόλεις. Συγκεκριμένα, το 2023</w:t>
      </w:r>
      <w:r w:rsidR="00E707CD">
        <w:rPr>
          <w:rFonts w:cs="Arial"/>
          <w:spacing w:val="-14"/>
          <w:w w:val="80"/>
          <w:kern w:val="48"/>
        </w:rPr>
        <w:t>,</w:t>
      </w:r>
      <w:r w:rsidR="007E27FF" w:rsidRPr="007E27FF">
        <w:rPr>
          <w:rFonts w:cs="Arial"/>
          <w:spacing w:val="-14"/>
          <w:w w:val="80"/>
          <w:kern w:val="48"/>
        </w:rPr>
        <w:t xml:space="preserve"> έκλεισε σημειώνοντας άνοδο της τάξης του 16% ως προς τον αριθμό πωλητήριων εγγράφων, συγκριτικά με το 2022</w:t>
      </w:r>
      <w:r w:rsidR="00E707CD">
        <w:rPr>
          <w:rFonts w:cs="Arial"/>
          <w:spacing w:val="-14"/>
          <w:w w:val="80"/>
          <w:kern w:val="48"/>
        </w:rPr>
        <w:t>,</w:t>
      </w:r>
      <w:r w:rsidR="007E27FF" w:rsidRPr="007E27FF">
        <w:rPr>
          <w:rFonts w:cs="Arial"/>
          <w:spacing w:val="-14"/>
          <w:w w:val="80"/>
          <w:kern w:val="48"/>
        </w:rPr>
        <w:t xml:space="preserve"> κι ακόμη μεγαλύτερη αύξηση</w:t>
      </w:r>
      <w:r w:rsidR="00E365AB">
        <w:rPr>
          <w:rFonts w:cs="Arial"/>
          <w:spacing w:val="-14"/>
          <w:w w:val="80"/>
          <w:kern w:val="48"/>
        </w:rPr>
        <w:t>,</w:t>
      </w:r>
      <w:r w:rsidR="007E27FF" w:rsidRPr="007E27FF">
        <w:rPr>
          <w:rFonts w:cs="Arial"/>
          <w:spacing w:val="-14"/>
          <w:w w:val="80"/>
          <w:kern w:val="48"/>
        </w:rPr>
        <w:t xml:space="preserve"> της τάξης του 50%</w:t>
      </w:r>
      <w:r w:rsidR="00E707CD">
        <w:rPr>
          <w:rFonts w:cs="Arial"/>
          <w:spacing w:val="-14"/>
          <w:w w:val="80"/>
          <w:kern w:val="48"/>
        </w:rPr>
        <w:t>,</w:t>
      </w:r>
      <w:r w:rsidR="007E27FF" w:rsidRPr="007E27FF">
        <w:rPr>
          <w:rFonts w:cs="Arial"/>
          <w:spacing w:val="-14"/>
          <w:w w:val="80"/>
          <w:kern w:val="48"/>
        </w:rPr>
        <w:t xml:space="preserve"> σε σχέση με το 2021. Με όλες τις επαρχίες να καταγράφουν σημαντικές αυξήσεις και τη Λάρνακα να παρουσιάζει πολύ υψηλές επιδόσεις, είναι σαφές ότι ο τομέας των ακινήτων διαδραμάτισε σημαίνοντα ρόλο, στην απόδοση της κυπριακής οικονομίας, όπως αυτή αποτυπώνεται στους θετικούς ρυθμούς ανάπτυξης. Μάλιστα</w:t>
      </w:r>
      <w:r w:rsidR="0031463D">
        <w:rPr>
          <w:rFonts w:cs="Arial"/>
          <w:spacing w:val="-14"/>
          <w:w w:val="80"/>
          <w:kern w:val="48"/>
        </w:rPr>
        <w:t>,</w:t>
      </w:r>
      <w:r w:rsidR="007E27FF" w:rsidRPr="007E27FF">
        <w:rPr>
          <w:rFonts w:cs="Arial"/>
          <w:spacing w:val="-14"/>
          <w:w w:val="80"/>
          <w:kern w:val="48"/>
        </w:rPr>
        <w:t xml:space="preserve"> η αλλαγή στον ΦΠΑ αναμένεται να δώσει ώθηση σε μεταχειρισμένα ακίνητα, ιδιαίτερα εκείνα μεγάλου εμβαδού και αξίας, αφού τα αντίστοιχα καινούργια ακίνητα θα υπόκειται σε 19% ΦΠΑ. Η επίδραση δε</w:t>
      </w:r>
      <w:r w:rsidR="00E707CD">
        <w:rPr>
          <w:rFonts w:cs="Arial"/>
          <w:spacing w:val="-14"/>
          <w:w w:val="80"/>
          <w:kern w:val="48"/>
        </w:rPr>
        <w:t>,</w:t>
      </w:r>
      <w:r w:rsidR="007E27FF" w:rsidRPr="007E27FF">
        <w:rPr>
          <w:rFonts w:cs="Arial"/>
          <w:spacing w:val="-14"/>
          <w:w w:val="80"/>
          <w:kern w:val="48"/>
        </w:rPr>
        <w:t xml:space="preserve"> της αλλαγής του ΦΠΑ, εκτιμούν ειδήμονες της κτηματομεσιτικής αγοράς, θα φανεί μεσοπρόθεσμα, εφόσον υπάρχουν αρκετά έργα εν εξελίξει, τα οποία θα υπόκεινται στην προηγούμενη νομοθεσία του ΦΠΑ, έργα</w:t>
      </w:r>
      <w:r w:rsidR="00E365AB">
        <w:rPr>
          <w:rFonts w:cs="Arial"/>
          <w:spacing w:val="-14"/>
          <w:w w:val="80"/>
          <w:kern w:val="48"/>
        </w:rPr>
        <w:t>,</w:t>
      </w:r>
      <w:r w:rsidR="007E27FF" w:rsidRPr="007E27FF">
        <w:rPr>
          <w:rFonts w:cs="Arial"/>
          <w:spacing w:val="-14"/>
          <w:w w:val="80"/>
          <w:kern w:val="48"/>
        </w:rPr>
        <w:t xml:space="preserve"> τα οποία κατατέθηκαν για πολεοδομική άδεια</w:t>
      </w:r>
      <w:r w:rsidR="00E365AB">
        <w:rPr>
          <w:rFonts w:cs="Arial"/>
          <w:spacing w:val="-14"/>
          <w:w w:val="80"/>
          <w:kern w:val="48"/>
        </w:rPr>
        <w:t>,</w:t>
      </w:r>
      <w:r w:rsidR="007E27FF" w:rsidRPr="007E27FF">
        <w:rPr>
          <w:rFonts w:cs="Arial"/>
          <w:spacing w:val="-14"/>
          <w:w w:val="80"/>
          <w:kern w:val="48"/>
        </w:rPr>
        <w:t xml:space="preserve"> πριν τις 31.10.2023.</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proofErr w:type="spellStart"/>
      <w:r w:rsidR="007E27FF" w:rsidRPr="007E27FF">
        <w:rPr>
          <w:rFonts w:cs="Arial"/>
          <w:spacing w:val="-14"/>
          <w:w w:val="80"/>
          <w:kern w:val="48"/>
        </w:rPr>
        <w:t>To</w:t>
      </w:r>
      <w:proofErr w:type="spellEnd"/>
      <w:r w:rsidR="007E27FF" w:rsidRPr="007E27FF">
        <w:rPr>
          <w:rFonts w:cs="Arial"/>
          <w:spacing w:val="-14"/>
          <w:w w:val="80"/>
          <w:kern w:val="48"/>
        </w:rPr>
        <w:t xml:space="preserve"> 2024</w:t>
      </w:r>
      <w:r w:rsidR="00E707CD">
        <w:rPr>
          <w:rFonts w:cs="Arial"/>
          <w:spacing w:val="-14"/>
          <w:w w:val="80"/>
          <w:kern w:val="48"/>
        </w:rPr>
        <w:t>,</w:t>
      </w:r>
      <w:r w:rsidR="007E27FF" w:rsidRPr="007E27FF">
        <w:rPr>
          <w:rFonts w:cs="Arial"/>
          <w:spacing w:val="-14"/>
          <w:w w:val="80"/>
          <w:kern w:val="48"/>
        </w:rPr>
        <w:t xml:space="preserve"> εκτιμάται ότι και πάλι η πορεία της αγοράς ακινήτων θα είναι θετική, ωστόσο, υπάρχουν σημαντικές παράμετροι, που θα μπορούσαν να την επηρεάσουν και οι οποίες</w:t>
      </w:r>
      <w:r w:rsidR="00E707CD">
        <w:rPr>
          <w:rFonts w:cs="Arial"/>
          <w:spacing w:val="-14"/>
          <w:w w:val="80"/>
          <w:kern w:val="48"/>
        </w:rPr>
        <w:t>,</w:t>
      </w:r>
      <w:r w:rsidR="007E27FF" w:rsidRPr="007E27FF">
        <w:rPr>
          <w:rFonts w:cs="Arial"/>
          <w:spacing w:val="-14"/>
          <w:w w:val="80"/>
          <w:kern w:val="48"/>
        </w:rPr>
        <w:t xml:space="preserve"> σε μεγάλο βαθμό</w:t>
      </w:r>
      <w:r w:rsidR="00E707CD">
        <w:rPr>
          <w:rFonts w:cs="Arial"/>
          <w:spacing w:val="-14"/>
          <w:w w:val="80"/>
          <w:kern w:val="48"/>
        </w:rPr>
        <w:t>,</w:t>
      </w:r>
      <w:r w:rsidR="007E27FF" w:rsidRPr="007E27FF">
        <w:rPr>
          <w:rFonts w:cs="Arial"/>
          <w:spacing w:val="-14"/>
          <w:w w:val="80"/>
          <w:kern w:val="48"/>
        </w:rPr>
        <w:t xml:space="preserve"> δεν συναρ</w:t>
      </w:r>
      <w:r w:rsidR="00E707CD">
        <w:rPr>
          <w:rFonts w:cs="Arial"/>
          <w:spacing w:val="-14"/>
          <w:w w:val="80"/>
          <w:kern w:val="48"/>
        </w:rPr>
        <w:t>τώνται από τις πολιτικές της κ/</w:t>
      </w:r>
      <w:r w:rsidR="007E27FF" w:rsidRPr="007E27FF">
        <w:rPr>
          <w:rFonts w:cs="Arial"/>
          <w:spacing w:val="-14"/>
          <w:w w:val="80"/>
          <w:kern w:val="48"/>
        </w:rPr>
        <w:t>κυβέρνησης. Για παράδειγμα, η πορεία της διεθνούς οικονομίας σε συνδυασμό με την έντονη γεωπολιτική αβεβαιότητα μπορεί να επηρεάσει αρνητικά τη ζήτηση από ξένους επενδυτές. Υπενθυμίζεται ότι</w:t>
      </w:r>
      <w:r w:rsidR="00E707CD">
        <w:rPr>
          <w:rFonts w:cs="Arial"/>
          <w:spacing w:val="-14"/>
          <w:w w:val="80"/>
          <w:kern w:val="48"/>
        </w:rPr>
        <w:t>,</w:t>
      </w:r>
      <w:r w:rsidR="007E27FF" w:rsidRPr="007E27FF">
        <w:rPr>
          <w:rFonts w:cs="Arial"/>
          <w:spacing w:val="-14"/>
          <w:w w:val="80"/>
          <w:kern w:val="48"/>
        </w:rPr>
        <w:t xml:space="preserve"> το 2023</w:t>
      </w:r>
      <w:r w:rsidR="00E707CD">
        <w:rPr>
          <w:rFonts w:cs="Arial"/>
          <w:spacing w:val="-14"/>
          <w:w w:val="80"/>
          <w:kern w:val="48"/>
        </w:rPr>
        <w:t>,</w:t>
      </w:r>
      <w:r w:rsidR="007E27FF" w:rsidRPr="007E27FF">
        <w:rPr>
          <w:rFonts w:cs="Arial"/>
          <w:spacing w:val="-14"/>
          <w:w w:val="80"/>
          <w:kern w:val="48"/>
        </w:rPr>
        <w:t xml:space="preserve"> οι πωλήσεις ακινήτων σε ξένους</w:t>
      </w:r>
      <w:r w:rsidR="00E707CD">
        <w:rPr>
          <w:rFonts w:cs="Arial"/>
          <w:spacing w:val="-14"/>
          <w:w w:val="80"/>
          <w:kern w:val="48"/>
        </w:rPr>
        <w:t>,</w:t>
      </w:r>
      <w:r w:rsidR="007E27FF" w:rsidRPr="007E27FF">
        <w:rPr>
          <w:rFonts w:cs="Arial"/>
          <w:spacing w:val="-14"/>
          <w:w w:val="80"/>
          <w:kern w:val="48"/>
        </w:rPr>
        <w:t xml:space="preserve"> εκτός ΕΕ</w:t>
      </w:r>
      <w:r w:rsidR="00E707CD">
        <w:rPr>
          <w:rFonts w:cs="Arial"/>
          <w:spacing w:val="-14"/>
          <w:w w:val="80"/>
          <w:kern w:val="48"/>
        </w:rPr>
        <w:t>,</w:t>
      </w:r>
      <w:r w:rsidR="007E27FF" w:rsidRPr="007E27FF">
        <w:rPr>
          <w:rFonts w:cs="Arial"/>
          <w:spacing w:val="-14"/>
          <w:w w:val="80"/>
          <w:kern w:val="48"/>
        </w:rPr>
        <w:t xml:space="preserve"> αυξήθηκαν</w:t>
      </w:r>
      <w:r w:rsidR="00E707CD">
        <w:rPr>
          <w:rFonts w:cs="Arial"/>
          <w:spacing w:val="-14"/>
          <w:w w:val="80"/>
          <w:kern w:val="48"/>
        </w:rPr>
        <w:t>,</w:t>
      </w:r>
      <w:r w:rsidR="007E27FF" w:rsidRPr="007E27FF">
        <w:rPr>
          <w:rFonts w:cs="Arial"/>
          <w:spacing w:val="-14"/>
          <w:w w:val="80"/>
          <w:kern w:val="48"/>
        </w:rPr>
        <w:t xml:space="preserve"> κατά 46%, υπερκαλύπτοντας τη μείωση</w:t>
      </w:r>
      <w:r w:rsidR="00E707CD">
        <w:rPr>
          <w:rFonts w:cs="Arial"/>
          <w:spacing w:val="-14"/>
          <w:w w:val="80"/>
          <w:kern w:val="48"/>
        </w:rPr>
        <w:t>,</w:t>
      </w:r>
      <w:r w:rsidR="007E27FF" w:rsidRPr="007E27FF">
        <w:rPr>
          <w:rFonts w:cs="Arial"/>
          <w:spacing w:val="-14"/>
          <w:w w:val="80"/>
          <w:kern w:val="48"/>
        </w:rPr>
        <w:t xml:space="preserve"> 23%, που σημείωσαν οι αγορές από κατοίκους</w:t>
      </w:r>
      <w:r w:rsidR="00E707CD">
        <w:rPr>
          <w:rFonts w:cs="Arial"/>
          <w:spacing w:val="-14"/>
          <w:w w:val="80"/>
          <w:kern w:val="48"/>
        </w:rPr>
        <w:t>,</w:t>
      </w:r>
      <w:r w:rsidR="007E27FF" w:rsidRPr="007E27FF">
        <w:rPr>
          <w:rFonts w:cs="Arial"/>
          <w:spacing w:val="-14"/>
          <w:w w:val="80"/>
          <w:kern w:val="48"/>
        </w:rPr>
        <w:t xml:space="preserve"> εντός ΕΕ. </w:t>
      </w:r>
      <w:r w:rsidR="00E707CD">
        <w:rPr>
          <w:rFonts w:cs="Arial"/>
          <w:spacing w:val="-14"/>
          <w:w w:val="80"/>
          <w:kern w:val="48"/>
        </w:rPr>
        <w:t>Επίσης,</w:t>
      </w:r>
      <w:r w:rsidR="007E27FF" w:rsidRPr="007E27FF">
        <w:rPr>
          <w:rFonts w:cs="Arial"/>
          <w:spacing w:val="-14"/>
          <w:w w:val="80"/>
          <w:kern w:val="48"/>
        </w:rPr>
        <w:t xml:space="preserve"> οι γεωπολιτικές εξελίξεις μπορεί να έχουν προσωρινά θετικό αντίκτυπο στην αγορά</w:t>
      </w:r>
      <w:r w:rsidR="00E707CD">
        <w:rPr>
          <w:rFonts w:cs="Arial"/>
          <w:spacing w:val="-14"/>
          <w:w w:val="80"/>
          <w:kern w:val="48"/>
        </w:rPr>
        <w:t>,</w:t>
      </w:r>
      <w:r w:rsidR="007E27FF" w:rsidRPr="007E27FF">
        <w:rPr>
          <w:rFonts w:cs="Arial"/>
          <w:spacing w:val="-14"/>
          <w:w w:val="80"/>
          <w:kern w:val="48"/>
        </w:rPr>
        <w:t xml:space="preserve"> εφόσον άτομα και εταιρείες από επηρεαζόμενες περιοχές αποφασίσουν να αναζητήσουν στέγη </w:t>
      </w:r>
      <w:r w:rsidR="007E27FF" w:rsidRPr="007E27FF">
        <w:rPr>
          <w:rFonts w:cs="Arial"/>
          <w:spacing w:val="-14"/>
          <w:w w:val="80"/>
          <w:kern w:val="48"/>
        </w:rPr>
        <w:lastRenderedPageBreak/>
        <w:t xml:space="preserve">κάπου αλλού. Μία ακόμα σημαντική παράμετρος, που αφορά κυρίως στους ξένους αγοραστές/επενδυτές είναι η </w:t>
      </w:r>
      <w:proofErr w:type="spellStart"/>
      <w:r w:rsidR="007E27FF" w:rsidRPr="007E27FF">
        <w:rPr>
          <w:rFonts w:cs="Arial"/>
          <w:spacing w:val="-14"/>
          <w:w w:val="80"/>
          <w:kern w:val="48"/>
        </w:rPr>
        <w:t>αυστηροποίηση</w:t>
      </w:r>
      <w:proofErr w:type="spellEnd"/>
      <w:r w:rsidR="007E27FF" w:rsidRPr="007E27FF">
        <w:rPr>
          <w:rFonts w:cs="Arial"/>
          <w:spacing w:val="-14"/>
          <w:w w:val="80"/>
          <w:kern w:val="48"/>
        </w:rPr>
        <w:t xml:space="preserve"> των μέτρων πάταξης της νομιμοποίησης εσόδων από παράνομες δραστηριότητες, γεγονός που θα επιφέρει εντονότερους ελέγχους σε υποψήφιους αλλοδαπούς αγοραστές ακινήτων.</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31463D">
        <w:rPr>
          <w:rFonts w:cs="Arial"/>
          <w:spacing w:val="-14"/>
          <w:w w:val="80"/>
          <w:kern w:val="48"/>
        </w:rPr>
        <w:t xml:space="preserve"> </w:t>
      </w:r>
      <w:r w:rsidR="007E27FF" w:rsidRPr="007E27FF">
        <w:rPr>
          <w:rFonts w:cs="Arial"/>
          <w:spacing w:val="-14"/>
          <w:w w:val="80"/>
          <w:kern w:val="48"/>
        </w:rPr>
        <w:t>Όσον αφορά στην εγχώρια ζήτηση, που το 2023 κινήθηκε επίσης θετικά (+16%)</w:t>
      </w:r>
      <w:r w:rsidR="00E707CD">
        <w:rPr>
          <w:rFonts w:cs="Arial"/>
          <w:spacing w:val="-14"/>
          <w:w w:val="80"/>
          <w:kern w:val="48"/>
        </w:rPr>
        <w:t>,</w:t>
      </w:r>
      <w:r w:rsidR="007E27FF" w:rsidRPr="007E27FF">
        <w:rPr>
          <w:rFonts w:cs="Arial"/>
          <w:spacing w:val="-14"/>
          <w:w w:val="80"/>
          <w:kern w:val="48"/>
        </w:rPr>
        <w:t xml:space="preserve"> παρά την άνοδο των επιτοκίων και τον επίμονο πληθωρισμό, και πάλι θα βρεθεί ενώπιον προκλήσεων. Το τεταμένο κλίμα σε διάφορες περιοχές (πχ. επιθέσεις των </w:t>
      </w:r>
      <w:proofErr w:type="spellStart"/>
      <w:r w:rsidR="007E27FF" w:rsidRPr="007E27FF">
        <w:rPr>
          <w:rFonts w:cs="Arial"/>
          <w:spacing w:val="-14"/>
          <w:w w:val="80"/>
          <w:kern w:val="48"/>
        </w:rPr>
        <w:t>Χούθι</w:t>
      </w:r>
      <w:proofErr w:type="spellEnd"/>
      <w:r w:rsidR="007E27FF" w:rsidRPr="007E27FF">
        <w:rPr>
          <w:rFonts w:cs="Arial"/>
          <w:spacing w:val="-14"/>
          <w:w w:val="80"/>
          <w:kern w:val="48"/>
        </w:rPr>
        <w:t>, κρίση στη Μέση Ανατολή) δημιουργούν νέες πιέσεις στις τιμές των πρώτων υλών και ενισχύουν την ανησυχία για ένα νέο κύκλο υψηλού πληθωρισμού, πριν καν υποχωρήσει ο προηγούμενος. Υπό αυτές τις συνθήκες, μέλη του Διοικητικού Συμβουλίου της Ευρωπαϊκής Κεντρικής Τράπεζας άφησαν να εννοηθεί ότι δεν πρόκειται να εξετάσουν μείωση των επιτοκίων</w:t>
      </w:r>
      <w:r w:rsidR="00E365AB">
        <w:rPr>
          <w:rFonts w:cs="Arial"/>
          <w:spacing w:val="-14"/>
          <w:w w:val="80"/>
          <w:kern w:val="48"/>
        </w:rPr>
        <w:t>,</w:t>
      </w:r>
      <w:r w:rsidR="007E27FF" w:rsidRPr="007E27FF">
        <w:rPr>
          <w:rFonts w:cs="Arial"/>
          <w:spacing w:val="-14"/>
          <w:w w:val="80"/>
          <w:kern w:val="48"/>
        </w:rPr>
        <w:t xml:space="preserve"> κατά το πρώτο εξάμηνο του 2024. Υπό αυτά τα δεδομένα και έχοντας υπόψη πως</w:t>
      </w:r>
      <w:r w:rsidR="00E707CD">
        <w:rPr>
          <w:rFonts w:cs="Arial"/>
          <w:spacing w:val="-14"/>
          <w:w w:val="80"/>
          <w:kern w:val="48"/>
        </w:rPr>
        <w:t>,</w:t>
      </w:r>
      <w:r w:rsidR="007E27FF" w:rsidRPr="007E27FF">
        <w:rPr>
          <w:rFonts w:cs="Arial"/>
          <w:spacing w:val="-14"/>
          <w:w w:val="80"/>
          <w:kern w:val="48"/>
        </w:rPr>
        <w:t xml:space="preserve"> το 2023</w:t>
      </w:r>
      <w:r w:rsidR="00E707CD">
        <w:rPr>
          <w:rFonts w:cs="Arial"/>
          <w:spacing w:val="-14"/>
          <w:w w:val="80"/>
          <w:kern w:val="48"/>
        </w:rPr>
        <w:t>,</w:t>
      </w:r>
      <w:r w:rsidR="007E27FF" w:rsidRPr="007E27FF">
        <w:rPr>
          <w:rFonts w:cs="Arial"/>
          <w:spacing w:val="-14"/>
          <w:w w:val="80"/>
          <w:kern w:val="48"/>
        </w:rPr>
        <w:t xml:space="preserve"> τα νέα στεγαστικά δάνεια παρουσίασαν μείωση της τάξης του 16%</w:t>
      </w:r>
      <w:r w:rsidR="00E707CD">
        <w:rPr>
          <w:rFonts w:cs="Arial"/>
          <w:spacing w:val="-14"/>
          <w:w w:val="80"/>
          <w:kern w:val="48"/>
        </w:rPr>
        <w:t>,</w:t>
      </w:r>
      <w:r w:rsidR="007E27FF" w:rsidRPr="007E27FF">
        <w:rPr>
          <w:rFonts w:cs="Arial"/>
          <w:spacing w:val="-14"/>
          <w:w w:val="80"/>
          <w:kern w:val="48"/>
        </w:rPr>
        <w:t xml:space="preserve"> περίπου</w:t>
      </w:r>
      <w:r w:rsidR="00E707CD">
        <w:rPr>
          <w:rFonts w:cs="Arial"/>
          <w:spacing w:val="-14"/>
          <w:w w:val="80"/>
          <w:kern w:val="48"/>
        </w:rPr>
        <w:t>,</w:t>
      </w:r>
      <w:r w:rsidR="007E27FF" w:rsidRPr="007E27FF">
        <w:rPr>
          <w:rFonts w:cs="Arial"/>
          <w:spacing w:val="-14"/>
          <w:w w:val="80"/>
          <w:kern w:val="48"/>
        </w:rPr>
        <w:t xml:space="preserve"> τα δεδομένα για τους επίδοξους δανειολήπτες θα παραμείνουν δύσκολα. Μία άλλη πτυχή που ενδεχομένως επηρεάσει την αγορά ακινήτων</w:t>
      </w:r>
      <w:r w:rsidR="00E707CD">
        <w:rPr>
          <w:rFonts w:cs="Arial"/>
          <w:spacing w:val="-14"/>
          <w:w w:val="80"/>
          <w:kern w:val="48"/>
        </w:rPr>
        <w:t>,</w:t>
      </w:r>
      <w:r w:rsidR="007E27FF" w:rsidRPr="007E27FF">
        <w:rPr>
          <w:rFonts w:cs="Arial"/>
          <w:spacing w:val="-14"/>
          <w:w w:val="80"/>
          <w:kern w:val="48"/>
        </w:rPr>
        <w:t xml:space="preserve"> το 2024</w:t>
      </w:r>
      <w:r w:rsidR="00E707CD">
        <w:rPr>
          <w:rFonts w:cs="Arial"/>
          <w:spacing w:val="-14"/>
          <w:w w:val="80"/>
          <w:kern w:val="48"/>
        </w:rPr>
        <w:t>,</w:t>
      </w:r>
      <w:r w:rsidR="007E27FF" w:rsidRPr="007E27FF">
        <w:rPr>
          <w:rFonts w:cs="Arial"/>
          <w:spacing w:val="-14"/>
          <w:w w:val="80"/>
          <w:kern w:val="48"/>
        </w:rPr>
        <w:t xml:space="preserve"> και ειδικά τα στεγαστικά ακίνητα αφορά στις εκποιήσεις. Μία διαδικασία που παρέμεινε ανενεργή για πολλά χρόνια, με χιλιάδες ακίνητα να βρίσκονται εκτός αγοράς. Με την ψήφιση των πρόσφατων αλλαγών στη Βουλή η διαδικασία αναμένεται να λειτουργήσει και τα ακίνητα αυτά να διοχετευτούν στην αγορά</w:t>
      </w:r>
      <w:r w:rsidR="00E707CD">
        <w:rPr>
          <w:rFonts w:cs="Arial"/>
          <w:spacing w:val="-14"/>
          <w:w w:val="80"/>
          <w:kern w:val="48"/>
        </w:rPr>
        <w:t>,</w:t>
      </w:r>
      <w:r w:rsidR="007E27FF" w:rsidRPr="007E27FF">
        <w:rPr>
          <w:rFonts w:cs="Arial"/>
          <w:spacing w:val="-14"/>
          <w:w w:val="80"/>
          <w:kern w:val="48"/>
        </w:rPr>
        <w:t xml:space="preserve"> σε χαμηλότερες τιμές, αυξάνοντας τη ζήτηση, η οποία εξακολουθεί να είναι περιορισμένη, συμβάλλοντας, επίσης, τόσο στη μείωση του ιδιωτικού χρέους</w:t>
      </w:r>
      <w:r w:rsidR="00E707CD">
        <w:rPr>
          <w:rFonts w:cs="Arial"/>
          <w:spacing w:val="-14"/>
          <w:w w:val="80"/>
          <w:kern w:val="48"/>
        </w:rPr>
        <w:t>,</w:t>
      </w:r>
      <w:r w:rsidR="007E27FF" w:rsidRPr="007E27FF">
        <w:rPr>
          <w:rFonts w:cs="Arial"/>
          <w:spacing w:val="-14"/>
          <w:w w:val="80"/>
          <w:kern w:val="48"/>
        </w:rPr>
        <w:t xml:space="preserve"> όσο και την αύξηση του διαθέσιμου αποθέματος ακινήτων στην αγορά.</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E27FF" w:rsidRPr="007E27FF">
        <w:rPr>
          <w:rFonts w:cs="Arial"/>
          <w:spacing w:val="-14"/>
          <w:w w:val="80"/>
          <w:kern w:val="48"/>
        </w:rPr>
        <w:t>Όσον αφορά στις τιμές διάθεσης των ακινήτων, παρόλο  που δημιουργείται η εικόνα μιας  τεράστιας αύξησης, εάν εξαιρεθούν οι τιμές για συγκεκριμένα είδη ακινήτων σε συγκεκριμένες περιοχές, οι τιμές</w:t>
      </w:r>
      <w:r w:rsidR="00E365AB">
        <w:rPr>
          <w:rFonts w:cs="Arial"/>
          <w:spacing w:val="-14"/>
          <w:w w:val="80"/>
          <w:kern w:val="48"/>
        </w:rPr>
        <w:t>,</w:t>
      </w:r>
      <w:r w:rsidR="007E27FF" w:rsidRPr="007E27FF">
        <w:rPr>
          <w:rFonts w:cs="Arial"/>
          <w:spacing w:val="-14"/>
          <w:w w:val="80"/>
          <w:kern w:val="48"/>
        </w:rPr>
        <w:t xml:space="preserve"> σήμερα</w:t>
      </w:r>
      <w:r w:rsidR="00E365AB">
        <w:rPr>
          <w:rFonts w:cs="Arial"/>
          <w:spacing w:val="-14"/>
          <w:w w:val="80"/>
          <w:kern w:val="48"/>
        </w:rPr>
        <w:t>,</w:t>
      </w:r>
      <w:r w:rsidR="007E27FF" w:rsidRPr="007E27FF">
        <w:rPr>
          <w:rFonts w:cs="Arial"/>
          <w:spacing w:val="-14"/>
          <w:w w:val="80"/>
          <w:kern w:val="48"/>
        </w:rPr>
        <w:t xml:space="preserve"> χαρακτηρίζονται φυσιολογικές και σε πορεία διόρθωσης, μετά από μία δεκαετία συνεχόμενων κρίσεων. Σύμφωνα με την Ευρωπαϊκή Στατιστική Υπηρεσία, οι τιμές των ακινήτων στην Κύπρο βρίσκονται στα ίδια περίπου επίπεδα με το 2010, ενώ</w:t>
      </w:r>
      <w:r w:rsidR="00712946">
        <w:rPr>
          <w:rFonts w:cs="Arial"/>
          <w:spacing w:val="-14"/>
          <w:w w:val="80"/>
          <w:kern w:val="48"/>
        </w:rPr>
        <w:t>,</w:t>
      </w:r>
      <w:r w:rsidR="007E27FF" w:rsidRPr="007E27FF">
        <w:rPr>
          <w:rFonts w:cs="Arial"/>
          <w:spacing w:val="-14"/>
          <w:w w:val="80"/>
          <w:kern w:val="48"/>
        </w:rPr>
        <w:t xml:space="preserve"> για την ίδια περίοδο</w:t>
      </w:r>
      <w:r w:rsidR="00712946">
        <w:rPr>
          <w:rFonts w:cs="Arial"/>
          <w:spacing w:val="-14"/>
          <w:w w:val="80"/>
          <w:kern w:val="48"/>
        </w:rPr>
        <w:t>,</w:t>
      </w:r>
      <w:r w:rsidR="007E27FF" w:rsidRPr="007E27FF">
        <w:rPr>
          <w:rFonts w:cs="Arial"/>
          <w:spacing w:val="-14"/>
          <w:w w:val="80"/>
          <w:kern w:val="48"/>
        </w:rPr>
        <w:t xml:space="preserve"> στην ΕΕ</w:t>
      </w:r>
      <w:r w:rsidR="00712946">
        <w:rPr>
          <w:rFonts w:cs="Arial"/>
          <w:spacing w:val="-14"/>
          <w:w w:val="80"/>
          <w:kern w:val="48"/>
        </w:rPr>
        <w:t>,</w:t>
      </w:r>
      <w:r w:rsidR="007E27FF" w:rsidRPr="007E27FF">
        <w:rPr>
          <w:rFonts w:cs="Arial"/>
          <w:spacing w:val="-14"/>
          <w:w w:val="80"/>
          <w:kern w:val="48"/>
        </w:rPr>
        <w:t xml:space="preserve"> παρουσιάζουν αύξηση της τάξης του 40%-50%</w:t>
      </w:r>
      <w:r w:rsidR="00712946">
        <w:rPr>
          <w:rFonts w:cs="Arial"/>
          <w:spacing w:val="-14"/>
          <w:w w:val="80"/>
          <w:kern w:val="48"/>
        </w:rPr>
        <w:t>,</w:t>
      </w:r>
      <w:r w:rsidR="007E27FF" w:rsidRPr="007E27FF">
        <w:rPr>
          <w:rFonts w:cs="Arial"/>
          <w:spacing w:val="-14"/>
          <w:w w:val="80"/>
          <w:kern w:val="48"/>
        </w:rPr>
        <w:t xml:space="preserve"> περίπου</w:t>
      </w:r>
      <w:r w:rsidR="00712946">
        <w:rPr>
          <w:rFonts w:cs="Arial"/>
          <w:spacing w:val="-14"/>
          <w:w w:val="80"/>
          <w:kern w:val="48"/>
        </w:rPr>
        <w:t>,</w:t>
      </w:r>
      <w:r w:rsidR="007E27FF" w:rsidRPr="007E27FF">
        <w:rPr>
          <w:rFonts w:cs="Arial"/>
          <w:spacing w:val="-14"/>
          <w:w w:val="80"/>
          <w:kern w:val="48"/>
        </w:rPr>
        <w:t xml:space="preserve"> κατά μέσο όρο. Σύμφωνα με τα διαθέσιμα στατιστικά δεδομένα, η μέση τιμή των συναλλαγών</w:t>
      </w:r>
      <w:r w:rsidR="00712946">
        <w:rPr>
          <w:rFonts w:cs="Arial"/>
          <w:spacing w:val="-14"/>
          <w:w w:val="80"/>
          <w:kern w:val="48"/>
        </w:rPr>
        <w:t>,</w:t>
      </w:r>
      <w:r w:rsidR="007E27FF" w:rsidRPr="007E27FF">
        <w:rPr>
          <w:rFonts w:cs="Arial"/>
          <w:spacing w:val="-14"/>
          <w:w w:val="80"/>
          <w:kern w:val="48"/>
        </w:rPr>
        <w:t xml:space="preserve"> κατά το 2023</w:t>
      </w:r>
      <w:r w:rsidR="00712946">
        <w:rPr>
          <w:rFonts w:cs="Arial"/>
          <w:spacing w:val="-14"/>
          <w:w w:val="80"/>
          <w:kern w:val="48"/>
        </w:rPr>
        <w:t>,</w:t>
      </w:r>
      <w:r w:rsidR="007E27FF" w:rsidRPr="007E27FF">
        <w:rPr>
          <w:rFonts w:cs="Arial"/>
          <w:spacing w:val="-14"/>
          <w:w w:val="80"/>
          <w:kern w:val="48"/>
        </w:rPr>
        <w:t xml:space="preserve"> ήταν ελαφρώς αυξημένη σε σύγκριση με το 2022 και κοντά στα προ πανδημίας επίπεδα. Ανάλογα με τη ζήτηση</w:t>
      </w:r>
      <w:r w:rsidR="00712946">
        <w:rPr>
          <w:rFonts w:cs="Arial"/>
          <w:spacing w:val="-14"/>
          <w:w w:val="80"/>
          <w:kern w:val="48"/>
        </w:rPr>
        <w:t xml:space="preserve"> </w:t>
      </w:r>
      <w:r w:rsidR="007E27FF" w:rsidRPr="007E27FF">
        <w:rPr>
          <w:rFonts w:cs="Arial"/>
          <w:spacing w:val="-14"/>
          <w:w w:val="80"/>
          <w:kern w:val="48"/>
        </w:rPr>
        <w:t xml:space="preserve"> κάθε κατηγορία</w:t>
      </w:r>
      <w:r w:rsidR="00712946">
        <w:rPr>
          <w:rFonts w:cs="Arial"/>
          <w:spacing w:val="-14"/>
          <w:w w:val="80"/>
          <w:kern w:val="48"/>
        </w:rPr>
        <w:t>ς</w:t>
      </w:r>
      <w:r w:rsidR="007E27FF" w:rsidRPr="007E27FF">
        <w:rPr>
          <w:rFonts w:cs="Arial"/>
          <w:spacing w:val="-14"/>
          <w:w w:val="80"/>
          <w:kern w:val="48"/>
        </w:rPr>
        <w:t xml:space="preserve"> ακινήτων</w:t>
      </w:r>
      <w:r w:rsidR="00712946">
        <w:rPr>
          <w:rFonts w:cs="Arial"/>
          <w:spacing w:val="-14"/>
          <w:w w:val="80"/>
          <w:kern w:val="48"/>
        </w:rPr>
        <w:t>,</w:t>
      </w:r>
      <w:r w:rsidR="007E27FF" w:rsidRPr="007E27FF">
        <w:rPr>
          <w:rFonts w:cs="Arial"/>
          <w:spacing w:val="-14"/>
          <w:w w:val="80"/>
          <w:kern w:val="48"/>
        </w:rPr>
        <w:t xml:space="preserve"> το 2024</w:t>
      </w:r>
      <w:r w:rsidR="00712946">
        <w:rPr>
          <w:rFonts w:cs="Arial"/>
          <w:spacing w:val="-14"/>
          <w:w w:val="80"/>
          <w:kern w:val="48"/>
        </w:rPr>
        <w:t>,</w:t>
      </w:r>
      <w:r w:rsidR="007E27FF" w:rsidRPr="007E27FF">
        <w:rPr>
          <w:rFonts w:cs="Arial"/>
          <w:spacing w:val="-14"/>
          <w:w w:val="80"/>
          <w:kern w:val="48"/>
        </w:rPr>
        <w:t xml:space="preserve"> </w:t>
      </w:r>
      <w:r w:rsidR="000F7E62">
        <w:rPr>
          <w:rFonts w:cs="Arial"/>
          <w:spacing w:val="-14"/>
          <w:w w:val="80"/>
          <w:kern w:val="48"/>
        </w:rPr>
        <w:t xml:space="preserve"> αναμένε</w:t>
      </w:r>
      <w:r w:rsidR="007E27FF" w:rsidRPr="007E27FF">
        <w:rPr>
          <w:rFonts w:cs="Arial"/>
          <w:spacing w:val="-14"/>
          <w:w w:val="80"/>
          <w:kern w:val="48"/>
        </w:rPr>
        <w:t xml:space="preserve">ται να κινηθούν και οι τιμές αγορές και ενοικίασης.   </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7E27FF" w:rsidRPr="007E27FF">
        <w:rPr>
          <w:rFonts w:cs="Arial"/>
          <w:spacing w:val="-14"/>
          <w:w w:val="80"/>
          <w:kern w:val="48"/>
        </w:rPr>
        <w:t>Σε κάθε περίπτωση</w:t>
      </w:r>
      <w:r w:rsidR="00E365AB">
        <w:rPr>
          <w:rFonts w:cs="Arial"/>
          <w:spacing w:val="-14"/>
          <w:w w:val="80"/>
          <w:kern w:val="48"/>
        </w:rPr>
        <w:t>,</w:t>
      </w:r>
      <w:r w:rsidR="007E27FF" w:rsidRPr="007E27FF">
        <w:rPr>
          <w:rFonts w:cs="Arial"/>
          <w:spacing w:val="-14"/>
          <w:w w:val="80"/>
          <w:kern w:val="48"/>
        </w:rPr>
        <w:t xml:space="preserve"> εκτιμάται ότι ο τομέας των ακινήτων θα παραμείνει εκ των βασικών πυλώνων της κυπριακής οικονομίας και το 2024, στηρίζοντας την αναπτυξιακή της πορεία. Λαμβάνοντας </w:t>
      </w:r>
      <w:proofErr w:type="spellStart"/>
      <w:r w:rsidR="007E27FF" w:rsidRPr="007E27FF">
        <w:rPr>
          <w:rFonts w:cs="Arial"/>
          <w:spacing w:val="-14"/>
          <w:w w:val="80"/>
          <w:kern w:val="48"/>
        </w:rPr>
        <w:t>υπόψιν</w:t>
      </w:r>
      <w:proofErr w:type="spellEnd"/>
      <w:r w:rsidR="007E27FF" w:rsidRPr="007E27FF">
        <w:rPr>
          <w:rFonts w:cs="Arial"/>
          <w:spacing w:val="-14"/>
          <w:w w:val="80"/>
          <w:kern w:val="48"/>
        </w:rPr>
        <w:t xml:space="preserve"> και την υλοποίηση διαφόρων έργων, που περιλαμβάνει το Σχέδιο Ανάκαμψης και Ανθεκτικότητας, ειδικοί του τομέα διατυπώνουν αισιοδοξία για το 2024 και εκτιμούν ότι οι προτεραιότητες των αντίστοιχων πολιτικών για την προσέλκυση ξένων επενδυτών στην Κύπρο, προερχομένων από την ΕΕ ή εκτός αυτής θα πρέπει να βασίζονται στη δημιουργία των σωστών υποδομών, με στόχο τη διατήρηση των υφισταμένων και την προσέλκυση νέων  ξένων επενδύσεων. Τα μέχρι τώρα διαθέσιμα στοιχεία κτηματομεσιτικών γραφείων δείχνουν </w:t>
      </w:r>
      <w:r w:rsidR="00712946">
        <w:rPr>
          <w:rFonts w:cs="Arial"/>
          <w:spacing w:val="-14"/>
          <w:w w:val="80"/>
          <w:kern w:val="48"/>
        </w:rPr>
        <w:t xml:space="preserve"> </w:t>
      </w:r>
      <w:r w:rsidR="007E27FF" w:rsidRPr="007E27FF">
        <w:rPr>
          <w:rFonts w:cs="Arial"/>
          <w:spacing w:val="-14"/>
          <w:w w:val="80"/>
          <w:kern w:val="48"/>
        </w:rPr>
        <w:t xml:space="preserve">το </w:t>
      </w:r>
      <w:r w:rsidR="00712946">
        <w:rPr>
          <w:rFonts w:cs="Arial"/>
          <w:spacing w:val="-14"/>
          <w:w w:val="80"/>
          <w:kern w:val="48"/>
        </w:rPr>
        <w:t xml:space="preserve">έντονο </w:t>
      </w:r>
      <w:r w:rsidR="007E27FF" w:rsidRPr="007E27FF">
        <w:rPr>
          <w:rFonts w:cs="Arial"/>
          <w:spacing w:val="-14"/>
          <w:w w:val="80"/>
          <w:kern w:val="48"/>
        </w:rPr>
        <w:t xml:space="preserve">ενδιαφέρον </w:t>
      </w:r>
      <w:r w:rsidR="00712946">
        <w:rPr>
          <w:rFonts w:cs="Arial"/>
          <w:spacing w:val="-14"/>
          <w:w w:val="80"/>
          <w:kern w:val="48"/>
        </w:rPr>
        <w:t>αλλοδαπών</w:t>
      </w:r>
      <w:r w:rsidR="007E27FF" w:rsidRPr="007E27FF">
        <w:rPr>
          <w:rFonts w:cs="Arial"/>
          <w:spacing w:val="-14"/>
          <w:w w:val="80"/>
          <w:kern w:val="48"/>
        </w:rPr>
        <w:t xml:space="preserve"> για επενδύσεις σε ακίνητα στην Κύπρο </w:t>
      </w:r>
      <w:r w:rsidR="00712946">
        <w:rPr>
          <w:rFonts w:cs="Arial"/>
          <w:spacing w:val="-14"/>
          <w:w w:val="80"/>
          <w:kern w:val="48"/>
        </w:rPr>
        <w:t xml:space="preserve">, το οποίο, </w:t>
      </w:r>
      <w:r w:rsidR="007E27FF" w:rsidRPr="007E27FF">
        <w:rPr>
          <w:rFonts w:cs="Arial"/>
          <w:spacing w:val="-14"/>
          <w:w w:val="80"/>
          <w:kern w:val="48"/>
        </w:rPr>
        <w:t>μάλιστα</w:t>
      </w:r>
      <w:r w:rsidR="00712946">
        <w:rPr>
          <w:rFonts w:cs="Arial"/>
          <w:spacing w:val="-14"/>
          <w:w w:val="80"/>
          <w:kern w:val="48"/>
        </w:rPr>
        <w:t>,</w:t>
      </w:r>
      <w:r w:rsidR="007E27FF" w:rsidRPr="007E27FF">
        <w:rPr>
          <w:rFonts w:cs="Arial"/>
          <w:spacing w:val="-14"/>
          <w:w w:val="80"/>
          <w:kern w:val="48"/>
        </w:rPr>
        <w:t xml:space="preserve"> προέρχεται από πολίτες 45 και πλέον χωρών.</w:t>
      </w:r>
    </w:p>
    <w:p w:rsidR="004C4036" w:rsidRDefault="004C4036" w:rsidP="004C4036">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A57508" w:rsidRDefault="007B09DB"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31849B"/>
          <w:spacing w:val="-14"/>
          <w:w w:val="80"/>
          <w:kern w:val="48"/>
        </w:rPr>
        <w:t>5.2 Εξελίξεις στην πορεία υλοποίησης του έργου ανάπλασης του λιμένα και της μαρίνας Λάρνακας.</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CC1967" w:rsidRPr="00CC1967">
        <w:rPr>
          <w:rFonts w:cs="Arial"/>
          <w:spacing w:val="-14"/>
          <w:w w:val="80"/>
          <w:kern w:val="48"/>
        </w:rPr>
        <w:t xml:space="preserve">Προβληματισμό σε τοπικούς φορείς και αρχές προκαλεί το γεγονός ότι η επένδυση του 1,2 δισ. Ευρώ για την ανάπλαση της μαρίνας και του λιμένα Λάρνακας βρίσκεται στον αέρα, με δεδομένο ότι η διαχειρίστρια εταιρεία, KYTION </w:t>
      </w:r>
      <w:proofErr w:type="spellStart"/>
      <w:r w:rsidR="00CC1967" w:rsidRPr="00CC1967">
        <w:rPr>
          <w:rFonts w:cs="Arial"/>
          <w:spacing w:val="-14"/>
          <w:w w:val="80"/>
          <w:kern w:val="48"/>
        </w:rPr>
        <w:t>Ocean</w:t>
      </w:r>
      <w:proofErr w:type="spellEnd"/>
      <w:r w:rsidR="00CC1967" w:rsidRPr="00CC1967">
        <w:rPr>
          <w:rFonts w:cs="Arial"/>
          <w:spacing w:val="-14"/>
          <w:w w:val="80"/>
          <w:kern w:val="48"/>
        </w:rPr>
        <w:t xml:space="preserve"> </w:t>
      </w:r>
      <w:proofErr w:type="spellStart"/>
      <w:r w:rsidR="00CC1967" w:rsidRPr="00CC1967">
        <w:rPr>
          <w:rFonts w:cs="Arial"/>
          <w:spacing w:val="-14"/>
          <w:w w:val="80"/>
          <w:kern w:val="48"/>
        </w:rPr>
        <w:t>Holdings</w:t>
      </w:r>
      <w:proofErr w:type="spellEnd"/>
      <w:r w:rsidR="00CC1967" w:rsidRPr="00CC1967">
        <w:rPr>
          <w:rFonts w:cs="Arial"/>
          <w:spacing w:val="-14"/>
          <w:w w:val="80"/>
          <w:kern w:val="48"/>
        </w:rPr>
        <w:t xml:space="preserve"> δεν έχει καταβάλει</w:t>
      </w:r>
      <w:r w:rsidR="00E365AB">
        <w:rPr>
          <w:rFonts w:cs="Arial"/>
          <w:spacing w:val="-14"/>
          <w:w w:val="80"/>
          <w:kern w:val="48"/>
        </w:rPr>
        <w:t>,</w:t>
      </w:r>
      <w:r w:rsidR="00CC1967" w:rsidRPr="00CC1967">
        <w:rPr>
          <w:rFonts w:cs="Arial"/>
          <w:spacing w:val="-14"/>
          <w:w w:val="80"/>
          <w:kern w:val="48"/>
        </w:rPr>
        <w:t xml:space="preserve"> ακόμη</w:t>
      </w:r>
      <w:r w:rsidR="00E365AB">
        <w:rPr>
          <w:rFonts w:cs="Arial"/>
          <w:spacing w:val="-14"/>
          <w:w w:val="80"/>
          <w:kern w:val="48"/>
        </w:rPr>
        <w:t>,</w:t>
      </w:r>
      <w:r w:rsidR="00CC1967" w:rsidRPr="00CC1967">
        <w:rPr>
          <w:rFonts w:cs="Arial"/>
          <w:spacing w:val="-14"/>
          <w:w w:val="80"/>
          <w:kern w:val="48"/>
        </w:rPr>
        <w:t xml:space="preserve"> τη σχετική εγγυητική. </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CC1967">
        <w:rPr>
          <w:rFonts w:cs="Arial"/>
          <w:spacing w:val="-14"/>
          <w:w w:val="80"/>
          <w:kern w:val="48"/>
        </w:rPr>
        <w:t xml:space="preserve"> </w:t>
      </w:r>
      <w:r w:rsidR="00CC1967" w:rsidRPr="00CC1967">
        <w:rPr>
          <w:rFonts w:cs="Arial"/>
          <w:spacing w:val="-14"/>
          <w:w w:val="80"/>
          <w:kern w:val="48"/>
        </w:rPr>
        <w:t>Περαιτέρω δε</w:t>
      </w:r>
      <w:r w:rsidR="003D1965">
        <w:rPr>
          <w:rFonts w:cs="Arial"/>
          <w:spacing w:val="-14"/>
          <w:w w:val="80"/>
          <w:kern w:val="48"/>
        </w:rPr>
        <w:t>,</w:t>
      </w:r>
      <w:r w:rsidR="00CC1967" w:rsidRPr="00CC1967">
        <w:rPr>
          <w:rFonts w:cs="Arial"/>
          <w:spacing w:val="-14"/>
          <w:w w:val="80"/>
          <w:kern w:val="48"/>
        </w:rPr>
        <w:t xml:space="preserve"> προβληματισμό προκάλεσε η πρόσφατη κίνηση της εταιρείας, όπως κατήγγειλαν ακτοπλόοι (ιδιοκτήτες σκαφών κρουαζιέρας κ.α.) στη Λάρνακα</w:t>
      </w:r>
      <w:r w:rsidR="003D1965">
        <w:rPr>
          <w:rFonts w:cs="Arial"/>
          <w:spacing w:val="-14"/>
          <w:w w:val="80"/>
          <w:kern w:val="48"/>
        </w:rPr>
        <w:t>,</w:t>
      </w:r>
      <w:r w:rsidR="00CC1967" w:rsidRPr="00CC1967">
        <w:rPr>
          <w:rFonts w:cs="Arial"/>
          <w:spacing w:val="-14"/>
          <w:w w:val="80"/>
          <w:kern w:val="48"/>
        </w:rPr>
        <w:t xml:space="preserve"> να ζητήσει ενοίκιο για τα μικρά κιόσκια, που διατηρούν στην είσοδο της μαρίνας, τα οποία τους είχαν παραχωρηθεί ως αντισταθμιστική διευκόλυνση για τη μεγάλη μείωση του κύκλου εργασιών τους. Το ενοίκιο ζητήθηκε από τους επαγγελματίες</w:t>
      </w:r>
      <w:r w:rsidR="00E365AB">
        <w:rPr>
          <w:rFonts w:cs="Arial"/>
          <w:spacing w:val="-14"/>
          <w:w w:val="80"/>
          <w:kern w:val="48"/>
        </w:rPr>
        <w:t>,</w:t>
      </w:r>
      <w:r w:rsidR="00CC1967" w:rsidRPr="00CC1967">
        <w:rPr>
          <w:rFonts w:cs="Arial"/>
          <w:spacing w:val="-14"/>
          <w:w w:val="80"/>
          <w:kern w:val="48"/>
        </w:rPr>
        <w:t xml:space="preserve"> στις 18.04.24, 3 ημέρες</w:t>
      </w:r>
      <w:r w:rsidR="00E365AB">
        <w:rPr>
          <w:rFonts w:cs="Arial"/>
          <w:spacing w:val="-14"/>
          <w:w w:val="80"/>
          <w:kern w:val="48"/>
        </w:rPr>
        <w:t>,</w:t>
      </w:r>
      <w:r w:rsidR="00CC1967" w:rsidRPr="00CC1967">
        <w:rPr>
          <w:rFonts w:cs="Arial"/>
          <w:spacing w:val="-14"/>
          <w:w w:val="80"/>
          <w:kern w:val="48"/>
        </w:rPr>
        <w:t xml:space="preserve"> δηλαδή</w:t>
      </w:r>
      <w:r w:rsidR="00E365AB">
        <w:rPr>
          <w:rFonts w:cs="Arial"/>
          <w:spacing w:val="-14"/>
          <w:w w:val="80"/>
          <w:kern w:val="48"/>
        </w:rPr>
        <w:t>,</w:t>
      </w:r>
      <w:r w:rsidR="00CC1967" w:rsidRPr="00CC1967">
        <w:rPr>
          <w:rFonts w:cs="Arial"/>
          <w:spacing w:val="-14"/>
          <w:w w:val="80"/>
          <w:kern w:val="48"/>
        </w:rPr>
        <w:t xml:space="preserve"> μετά τη σύσκεψη στο Προεδρικό Μέγαρο, όπου ο  Πρόεδρος της Δημοκρατίας διεμήνυσε σε αξιωματούχους της </w:t>
      </w:r>
      <w:proofErr w:type="spellStart"/>
      <w:r w:rsidR="00CC1967" w:rsidRPr="00CC1967">
        <w:rPr>
          <w:rFonts w:cs="Arial"/>
          <w:spacing w:val="-14"/>
          <w:w w:val="80"/>
          <w:kern w:val="48"/>
        </w:rPr>
        <w:t>Kition</w:t>
      </w:r>
      <w:proofErr w:type="spellEnd"/>
      <w:r w:rsidR="00CC1967" w:rsidRPr="00CC1967">
        <w:rPr>
          <w:rFonts w:cs="Arial"/>
          <w:spacing w:val="-14"/>
          <w:w w:val="80"/>
          <w:kern w:val="48"/>
        </w:rPr>
        <w:t xml:space="preserve"> </w:t>
      </w:r>
      <w:proofErr w:type="spellStart"/>
      <w:r w:rsidR="00CC1967" w:rsidRPr="00CC1967">
        <w:rPr>
          <w:rFonts w:cs="Arial"/>
          <w:spacing w:val="-14"/>
          <w:w w:val="80"/>
          <w:kern w:val="48"/>
        </w:rPr>
        <w:t>Ocean</w:t>
      </w:r>
      <w:proofErr w:type="spellEnd"/>
      <w:r w:rsidR="00CC1967" w:rsidRPr="00CC1967">
        <w:rPr>
          <w:rFonts w:cs="Arial"/>
          <w:spacing w:val="-14"/>
          <w:w w:val="80"/>
          <w:kern w:val="48"/>
        </w:rPr>
        <w:t xml:space="preserve"> </w:t>
      </w:r>
      <w:proofErr w:type="spellStart"/>
      <w:r w:rsidR="00CC1967" w:rsidRPr="00CC1967">
        <w:rPr>
          <w:rFonts w:cs="Arial"/>
          <w:spacing w:val="-14"/>
          <w:w w:val="80"/>
          <w:kern w:val="48"/>
        </w:rPr>
        <w:t>Holdings</w:t>
      </w:r>
      <w:proofErr w:type="spellEnd"/>
      <w:r w:rsidR="00CC1967" w:rsidRPr="00CC1967">
        <w:rPr>
          <w:rFonts w:cs="Arial"/>
          <w:spacing w:val="-14"/>
          <w:w w:val="80"/>
          <w:kern w:val="48"/>
        </w:rPr>
        <w:t xml:space="preserve"> ότι χωρίς την καταβολή της εγγυητικής για το λιμάνι, δεν μπορεί να θεωρείται σε ισχύ η σύμβαση, που έχει υπογραφεί. Συγκεκριμένα</w:t>
      </w:r>
      <w:r w:rsidR="00671B5A">
        <w:rPr>
          <w:rFonts w:cs="Arial"/>
          <w:spacing w:val="-14"/>
          <w:w w:val="80"/>
          <w:kern w:val="48"/>
        </w:rPr>
        <w:t>,</w:t>
      </w:r>
      <w:r w:rsidR="00CC1967" w:rsidRPr="00CC1967">
        <w:rPr>
          <w:rFonts w:cs="Arial"/>
          <w:spacing w:val="-14"/>
          <w:w w:val="80"/>
          <w:kern w:val="48"/>
        </w:rPr>
        <w:t xml:space="preserve"> η </w:t>
      </w:r>
      <w:proofErr w:type="spellStart"/>
      <w:r w:rsidR="00CC1967" w:rsidRPr="00CC1967">
        <w:rPr>
          <w:rFonts w:cs="Arial"/>
          <w:spacing w:val="-14"/>
          <w:w w:val="80"/>
          <w:kern w:val="48"/>
        </w:rPr>
        <w:t>Kition</w:t>
      </w:r>
      <w:proofErr w:type="spellEnd"/>
      <w:r w:rsidR="00CC1967" w:rsidRPr="00CC1967">
        <w:rPr>
          <w:rFonts w:cs="Arial"/>
          <w:spacing w:val="-14"/>
          <w:w w:val="80"/>
          <w:kern w:val="48"/>
        </w:rPr>
        <w:t xml:space="preserve"> </w:t>
      </w:r>
      <w:proofErr w:type="spellStart"/>
      <w:r w:rsidR="00CC1967" w:rsidRPr="00CC1967">
        <w:rPr>
          <w:rFonts w:cs="Arial"/>
          <w:spacing w:val="-14"/>
          <w:w w:val="80"/>
          <w:kern w:val="48"/>
        </w:rPr>
        <w:t>Ocean</w:t>
      </w:r>
      <w:proofErr w:type="spellEnd"/>
      <w:r w:rsidR="00CC1967" w:rsidRPr="00CC1967">
        <w:rPr>
          <w:rFonts w:cs="Arial"/>
          <w:spacing w:val="-14"/>
          <w:w w:val="80"/>
          <w:kern w:val="48"/>
        </w:rPr>
        <w:t xml:space="preserve"> </w:t>
      </w:r>
      <w:proofErr w:type="spellStart"/>
      <w:r w:rsidR="00CC1967" w:rsidRPr="00CC1967">
        <w:rPr>
          <w:rFonts w:cs="Arial"/>
          <w:spacing w:val="-14"/>
          <w:w w:val="80"/>
          <w:kern w:val="48"/>
        </w:rPr>
        <w:t>Holdings</w:t>
      </w:r>
      <w:proofErr w:type="spellEnd"/>
      <w:r w:rsidR="00CC1967" w:rsidRPr="00CC1967">
        <w:rPr>
          <w:rFonts w:cs="Arial"/>
          <w:spacing w:val="-14"/>
          <w:w w:val="80"/>
          <w:kern w:val="48"/>
        </w:rPr>
        <w:t xml:space="preserve"> ενημέρωσε τους ακτοπλόους στη Λάρνακα ότι θα επιβάλει μηνιαίο ενοίκιο 100 Ευρώ για τα περίπτερα, ζητώντας μάλιστα να προπληρωθούν τρεις μήνες ξεκινώντας από 1.5. </w:t>
      </w:r>
      <w:proofErr w:type="spellStart"/>
      <w:r w:rsidR="00CC1967" w:rsidRPr="00CC1967">
        <w:rPr>
          <w:rFonts w:cs="Arial"/>
          <w:spacing w:val="-14"/>
          <w:w w:val="80"/>
          <w:kern w:val="48"/>
        </w:rPr>
        <w:t>τ.έ</w:t>
      </w:r>
      <w:proofErr w:type="spellEnd"/>
      <w:r w:rsidR="00CC1967" w:rsidRPr="00CC1967">
        <w:rPr>
          <w:rFonts w:cs="Arial"/>
          <w:spacing w:val="-14"/>
          <w:w w:val="80"/>
          <w:kern w:val="48"/>
        </w:rPr>
        <w:t>.</w:t>
      </w:r>
      <w:r w:rsidR="00671B5A">
        <w:rPr>
          <w:rFonts w:cs="Arial"/>
          <w:spacing w:val="-14"/>
          <w:w w:val="80"/>
          <w:kern w:val="48"/>
        </w:rPr>
        <w:t>.</w:t>
      </w:r>
      <w:r w:rsidR="00CC1967" w:rsidRPr="00CC1967">
        <w:rPr>
          <w:rFonts w:cs="Arial"/>
          <w:spacing w:val="-14"/>
          <w:w w:val="80"/>
          <w:kern w:val="48"/>
        </w:rPr>
        <w:t xml:space="preserve"> Η εταιρεία ενημέρωσε</w:t>
      </w:r>
      <w:r w:rsidR="003D1965">
        <w:rPr>
          <w:rFonts w:cs="Arial"/>
          <w:spacing w:val="-14"/>
          <w:w w:val="80"/>
          <w:kern w:val="48"/>
        </w:rPr>
        <w:t>,</w:t>
      </w:r>
      <w:r w:rsidR="00CC1967" w:rsidRPr="00CC1967">
        <w:rPr>
          <w:rFonts w:cs="Arial"/>
          <w:spacing w:val="-14"/>
          <w:w w:val="80"/>
          <w:kern w:val="48"/>
        </w:rPr>
        <w:t xml:space="preserve"> </w:t>
      </w:r>
      <w:r w:rsidR="003D1965">
        <w:rPr>
          <w:rFonts w:cs="Arial"/>
          <w:spacing w:val="-14"/>
          <w:w w:val="80"/>
          <w:kern w:val="48"/>
        </w:rPr>
        <w:t>επίσης,</w:t>
      </w:r>
      <w:r w:rsidR="00CC1967" w:rsidRPr="00CC1967">
        <w:rPr>
          <w:rFonts w:cs="Arial"/>
          <w:spacing w:val="-14"/>
          <w:w w:val="80"/>
          <w:kern w:val="48"/>
        </w:rPr>
        <w:t xml:space="preserve"> ότι</w:t>
      </w:r>
      <w:r w:rsidR="00671B5A">
        <w:rPr>
          <w:rFonts w:cs="Arial"/>
          <w:spacing w:val="-14"/>
          <w:w w:val="80"/>
          <w:kern w:val="48"/>
        </w:rPr>
        <w:t>,</w:t>
      </w:r>
      <w:r w:rsidR="00CC1967" w:rsidRPr="00CC1967">
        <w:rPr>
          <w:rFonts w:cs="Arial"/>
          <w:spacing w:val="-14"/>
          <w:w w:val="80"/>
          <w:kern w:val="48"/>
        </w:rPr>
        <w:t xml:space="preserve"> έως 30.4. </w:t>
      </w:r>
      <w:proofErr w:type="spellStart"/>
      <w:r w:rsidR="00CC1967" w:rsidRPr="00CC1967">
        <w:rPr>
          <w:rFonts w:cs="Arial"/>
          <w:spacing w:val="-14"/>
          <w:w w:val="80"/>
          <w:kern w:val="48"/>
        </w:rPr>
        <w:t>τ.έ</w:t>
      </w:r>
      <w:proofErr w:type="spellEnd"/>
      <w:r w:rsidR="00CC1967" w:rsidRPr="00CC1967">
        <w:rPr>
          <w:rFonts w:cs="Arial"/>
          <w:spacing w:val="-14"/>
          <w:w w:val="80"/>
          <w:kern w:val="48"/>
        </w:rPr>
        <w:t>. όλες οι οφειλές πρέπει να εξοφληθούν, σε διαφορετική περίπτωση</w:t>
      </w:r>
      <w:r w:rsidR="00671B5A">
        <w:rPr>
          <w:rFonts w:cs="Arial"/>
          <w:spacing w:val="-14"/>
          <w:w w:val="80"/>
          <w:kern w:val="48"/>
        </w:rPr>
        <w:t>,</w:t>
      </w:r>
      <w:r w:rsidR="00CC1967" w:rsidRPr="00CC1967">
        <w:rPr>
          <w:rFonts w:cs="Arial"/>
          <w:spacing w:val="-14"/>
          <w:w w:val="80"/>
          <w:kern w:val="48"/>
        </w:rPr>
        <w:t xml:space="preserve"> η διεύθυνση τ</w:t>
      </w:r>
      <w:r w:rsidR="00671B5A">
        <w:rPr>
          <w:rFonts w:cs="Arial"/>
          <w:spacing w:val="-14"/>
          <w:w w:val="80"/>
          <w:kern w:val="48"/>
        </w:rPr>
        <w:t>ης μαρίνας έχει κάθε δικαίωμα να</w:t>
      </w:r>
      <w:r w:rsidR="00CC1967" w:rsidRPr="00CC1967">
        <w:rPr>
          <w:rFonts w:cs="Arial"/>
          <w:spacing w:val="-14"/>
          <w:w w:val="80"/>
          <w:kern w:val="48"/>
        </w:rPr>
        <w:t xml:space="preserve"> απομακρύνει τα περίπτερά τους.</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CC1967" w:rsidRPr="00CC1967">
        <w:rPr>
          <w:rFonts w:cs="Arial"/>
          <w:spacing w:val="-14"/>
          <w:w w:val="80"/>
          <w:kern w:val="48"/>
        </w:rPr>
        <w:t xml:space="preserve">Ο προβληματισμός για την πορεία υλοποίησης του σημαντικού αυτού έργου υποδομής αποτυπώθηκε και στις τοποθετήσεις επισήμων και εκπροσώπων τοπικών αρχών και φορέων στο </w:t>
      </w:r>
      <w:proofErr w:type="spellStart"/>
      <w:r w:rsidR="00CC1967" w:rsidRPr="00CC1967">
        <w:rPr>
          <w:rFonts w:cs="Arial"/>
          <w:spacing w:val="-14"/>
          <w:w w:val="80"/>
          <w:kern w:val="48"/>
        </w:rPr>
        <w:t>Property</w:t>
      </w:r>
      <w:proofErr w:type="spellEnd"/>
      <w:r w:rsidR="00CC1967" w:rsidRPr="00CC1967">
        <w:rPr>
          <w:rFonts w:cs="Arial"/>
          <w:spacing w:val="-14"/>
          <w:w w:val="80"/>
          <w:kern w:val="48"/>
        </w:rPr>
        <w:t xml:space="preserve"> </w:t>
      </w:r>
      <w:proofErr w:type="spellStart"/>
      <w:r w:rsidR="00CC1967" w:rsidRPr="00CC1967">
        <w:rPr>
          <w:rFonts w:cs="Arial"/>
          <w:spacing w:val="-14"/>
          <w:w w:val="80"/>
          <w:kern w:val="48"/>
        </w:rPr>
        <w:t>Show</w:t>
      </w:r>
      <w:proofErr w:type="spellEnd"/>
      <w:r w:rsidR="00CC1967" w:rsidRPr="00CC1967">
        <w:rPr>
          <w:rFonts w:cs="Arial"/>
          <w:spacing w:val="-14"/>
          <w:w w:val="80"/>
          <w:kern w:val="48"/>
        </w:rPr>
        <w:t xml:space="preserve"> Λάρνακα 2024, που έλαβε χώρα στη Λάρνακα στις 26.04.24. </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lastRenderedPageBreak/>
        <w:t xml:space="preserve">      </w:t>
      </w:r>
      <w:r w:rsidR="00CC1967" w:rsidRPr="00CC1967">
        <w:rPr>
          <w:rFonts w:cs="Arial"/>
          <w:spacing w:val="-14"/>
          <w:w w:val="80"/>
          <w:kern w:val="48"/>
        </w:rPr>
        <w:t xml:space="preserve">Στον χαιρετισμό του, στο συνέδριο </w:t>
      </w:r>
      <w:proofErr w:type="spellStart"/>
      <w:r w:rsidR="00CC1967" w:rsidRPr="00CC1967">
        <w:rPr>
          <w:rFonts w:cs="Arial"/>
          <w:spacing w:val="-14"/>
          <w:w w:val="80"/>
          <w:kern w:val="48"/>
        </w:rPr>
        <w:t>Property</w:t>
      </w:r>
      <w:proofErr w:type="spellEnd"/>
      <w:r w:rsidR="00CC1967" w:rsidRPr="00CC1967">
        <w:rPr>
          <w:rFonts w:cs="Arial"/>
          <w:spacing w:val="-14"/>
          <w:w w:val="80"/>
          <w:kern w:val="48"/>
        </w:rPr>
        <w:t xml:space="preserve"> </w:t>
      </w:r>
      <w:proofErr w:type="spellStart"/>
      <w:r w:rsidR="00CC1967" w:rsidRPr="00CC1967">
        <w:rPr>
          <w:rFonts w:cs="Arial"/>
          <w:spacing w:val="-14"/>
          <w:w w:val="80"/>
          <w:kern w:val="48"/>
        </w:rPr>
        <w:t>Show</w:t>
      </w:r>
      <w:proofErr w:type="spellEnd"/>
      <w:r w:rsidR="00CC1967" w:rsidRPr="00CC1967">
        <w:rPr>
          <w:rFonts w:cs="Arial"/>
          <w:spacing w:val="-14"/>
          <w:w w:val="80"/>
          <w:kern w:val="48"/>
        </w:rPr>
        <w:t xml:space="preserve"> Λάρνακα 2024</w:t>
      </w:r>
      <w:r w:rsidR="00671B5A">
        <w:rPr>
          <w:rFonts w:cs="Arial"/>
          <w:spacing w:val="-14"/>
          <w:w w:val="80"/>
          <w:kern w:val="48"/>
        </w:rPr>
        <w:t>,</w:t>
      </w:r>
      <w:r w:rsidR="00CC1967" w:rsidRPr="00CC1967">
        <w:rPr>
          <w:rFonts w:cs="Arial"/>
          <w:spacing w:val="-14"/>
          <w:w w:val="80"/>
          <w:kern w:val="48"/>
        </w:rPr>
        <w:t xml:space="preserve"> ο  δήμαρχος Λάρνακας</w:t>
      </w:r>
      <w:r w:rsidR="00671B5A">
        <w:rPr>
          <w:rFonts w:cs="Arial"/>
          <w:spacing w:val="-14"/>
          <w:w w:val="80"/>
          <w:kern w:val="48"/>
        </w:rPr>
        <w:t>,</w:t>
      </w:r>
      <w:r w:rsidR="00CC1967" w:rsidRPr="00CC1967">
        <w:rPr>
          <w:rFonts w:cs="Arial"/>
          <w:spacing w:val="-14"/>
          <w:w w:val="80"/>
          <w:kern w:val="48"/>
        </w:rPr>
        <w:t xml:space="preserve"> κ. Α. </w:t>
      </w:r>
      <w:proofErr w:type="spellStart"/>
      <w:r w:rsidR="00CC1967" w:rsidRPr="00CC1967">
        <w:rPr>
          <w:rFonts w:cs="Arial"/>
          <w:spacing w:val="-14"/>
          <w:w w:val="80"/>
          <w:kern w:val="48"/>
        </w:rPr>
        <w:t>Βύρας</w:t>
      </w:r>
      <w:proofErr w:type="spellEnd"/>
      <w:r w:rsidR="00671B5A">
        <w:rPr>
          <w:rFonts w:cs="Arial"/>
          <w:spacing w:val="-14"/>
          <w:w w:val="80"/>
          <w:kern w:val="48"/>
        </w:rPr>
        <w:t>,</w:t>
      </w:r>
      <w:r w:rsidR="00CC1967" w:rsidRPr="00CC1967">
        <w:rPr>
          <w:rFonts w:cs="Arial"/>
          <w:spacing w:val="-14"/>
          <w:w w:val="80"/>
          <w:kern w:val="48"/>
        </w:rPr>
        <w:t xml:space="preserve"> εξέφρασε την αναγκαιότητα υλοποίησης του έργου ανάπλασης της μαρίνας και του λιμανιού Λάρνακας. Σχετικά με την καθυστέρηση υλοποίησης ανέφερε ότι εάν το έργο δεν προχωρήσει «έχουμε τρόπο να το υλοποιήσουμε για την πόλη μας». Συμπλήρωσε ότι στη Λάρνακα</w:t>
      </w:r>
      <w:r w:rsidR="00671B5A">
        <w:rPr>
          <w:rFonts w:cs="Arial"/>
          <w:spacing w:val="-14"/>
          <w:w w:val="80"/>
          <w:kern w:val="48"/>
        </w:rPr>
        <w:t>,</w:t>
      </w:r>
      <w:r w:rsidR="00CC1967" w:rsidRPr="00CC1967">
        <w:rPr>
          <w:rFonts w:cs="Arial"/>
          <w:spacing w:val="-14"/>
          <w:w w:val="80"/>
          <w:kern w:val="48"/>
        </w:rPr>
        <w:t xml:space="preserve"> τα επόμενα χρόνια</w:t>
      </w:r>
      <w:r w:rsidR="00671B5A">
        <w:rPr>
          <w:rFonts w:cs="Arial"/>
          <w:spacing w:val="-14"/>
          <w:w w:val="80"/>
          <w:kern w:val="48"/>
        </w:rPr>
        <w:t>,</w:t>
      </w:r>
      <w:r w:rsidR="00CC1967" w:rsidRPr="00CC1967">
        <w:rPr>
          <w:rFonts w:cs="Arial"/>
          <w:spacing w:val="-14"/>
          <w:w w:val="80"/>
          <w:kern w:val="48"/>
        </w:rPr>
        <w:t xml:space="preserve"> αναμένεται να υλοποιηθούν αναπτυξιακά έργα</w:t>
      </w:r>
      <w:r w:rsidR="00671B5A">
        <w:rPr>
          <w:rFonts w:cs="Arial"/>
          <w:spacing w:val="-14"/>
          <w:w w:val="80"/>
          <w:kern w:val="48"/>
        </w:rPr>
        <w:t>,</w:t>
      </w:r>
      <w:r w:rsidR="00CC1967" w:rsidRPr="00CC1967">
        <w:rPr>
          <w:rFonts w:cs="Arial"/>
          <w:spacing w:val="-14"/>
          <w:w w:val="80"/>
          <w:kern w:val="48"/>
        </w:rPr>
        <w:t xml:space="preserve"> ύψους 100 εκατ. Ευρώ.</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CC1967" w:rsidRPr="00CC1967">
        <w:rPr>
          <w:rFonts w:cs="Arial"/>
          <w:spacing w:val="-14"/>
          <w:w w:val="80"/>
          <w:kern w:val="48"/>
        </w:rPr>
        <w:t>Ο Πρόεδρος του ΕΒΕ Λάρνακας</w:t>
      </w:r>
      <w:r w:rsidR="00671B5A">
        <w:rPr>
          <w:rFonts w:cs="Arial"/>
          <w:spacing w:val="-14"/>
          <w:w w:val="80"/>
          <w:kern w:val="48"/>
        </w:rPr>
        <w:t>,</w:t>
      </w:r>
      <w:r w:rsidR="00CC1967" w:rsidRPr="00CC1967">
        <w:rPr>
          <w:rFonts w:cs="Arial"/>
          <w:spacing w:val="-14"/>
          <w:w w:val="80"/>
          <w:kern w:val="48"/>
        </w:rPr>
        <w:t xml:space="preserve"> κ. Ν. Αντωνίου στον δικό του χαιρετισμό του στο συνέδριο ανέφερε επίσης ότι οι τοπικές αρχές και φορείς θα αναπτύξουν τη Λάρνακα και θα δημιουργήσουν θέσεις εργασίας, ενώ σχολιάζοντας τις εξελίξεις</w:t>
      </w:r>
      <w:r w:rsidR="00671B5A">
        <w:rPr>
          <w:rFonts w:cs="Arial"/>
          <w:spacing w:val="-14"/>
          <w:w w:val="80"/>
          <w:kern w:val="48"/>
        </w:rPr>
        <w:t>,</w:t>
      </w:r>
      <w:r w:rsidR="00CC1967" w:rsidRPr="00CC1967">
        <w:rPr>
          <w:rFonts w:cs="Arial"/>
          <w:spacing w:val="-14"/>
          <w:w w:val="80"/>
          <w:kern w:val="48"/>
        </w:rPr>
        <w:t xml:space="preserve"> γύρω από το έργο ανάπτυξης της μαρίνας και του λιμανιού της πόλης</w:t>
      </w:r>
      <w:r w:rsidR="00671B5A">
        <w:rPr>
          <w:rFonts w:cs="Arial"/>
          <w:spacing w:val="-14"/>
          <w:w w:val="80"/>
          <w:kern w:val="48"/>
        </w:rPr>
        <w:t>,</w:t>
      </w:r>
      <w:r w:rsidR="00CC1967" w:rsidRPr="00CC1967">
        <w:rPr>
          <w:rFonts w:cs="Arial"/>
          <w:spacing w:val="-14"/>
          <w:w w:val="80"/>
          <w:kern w:val="48"/>
        </w:rPr>
        <w:t xml:space="preserve"> επεσήμανε την υπόσχεση του κ/ Υπουργού Μεταφορών κ. Α. </w:t>
      </w:r>
      <w:proofErr w:type="spellStart"/>
      <w:r w:rsidR="00CC1967" w:rsidRPr="00CC1967">
        <w:rPr>
          <w:rFonts w:cs="Arial"/>
          <w:spacing w:val="-14"/>
          <w:w w:val="80"/>
          <w:kern w:val="48"/>
        </w:rPr>
        <w:t>Βαφεάδη</w:t>
      </w:r>
      <w:proofErr w:type="spellEnd"/>
      <w:r w:rsidR="00CC1967" w:rsidRPr="00CC1967">
        <w:rPr>
          <w:rFonts w:cs="Arial"/>
          <w:spacing w:val="-14"/>
          <w:w w:val="80"/>
          <w:kern w:val="48"/>
        </w:rPr>
        <w:t xml:space="preserve"> ότι το έργο θα γίνει</w:t>
      </w:r>
      <w:r w:rsidR="00CC1967">
        <w:rPr>
          <w:rFonts w:cs="Arial"/>
          <w:spacing w:val="-14"/>
          <w:w w:val="80"/>
          <w:kern w:val="48"/>
        </w:rPr>
        <w:t>,</w:t>
      </w:r>
      <w:r w:rsidR="00CC1967" w:rsidRPr="00CC1967">
        <w:rPr>
          <w:rFonts w:cs="Arial"/>
          <w:spacing w:val="-14"/>
          <w:w w:val="80"/>
          <w:kern w:val="48"/>
        </w:rPr>
        <w:t xml:space="preserve"> είτε με αυτή</w:t>
      </w:r>
      <w:r w:rsidR="00CC1967">
        <w:rPr>
          <w:rFonts w:cs="Arial"/>
          <w:spacing w:val="-14"/>
          <w:w w:val="80"/>
          <w:kern w:val="48"/>
        </w:rPr>
        <w:t>,</w:t>
      </w:r>
      <w:r w:rsidR="00CC1967" w:rsidRPr="00CC1967">
        <w:rPr>
          <w:rFonts w:cs="Arial"/>
          <w:spacing w:val="-14"/>
          <w:w w:val="80"/>
          <w:kern w:val="48"/>
        </w:rPr>
        <w:t xml:space="preserve"> είτε με άλλη εταιρεία.</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CC1967" w:rsidRPr="00CC1967">
        <w:rPr>
          <w:rFonts w:cs="Arial"/>
          <w:spacing w:val="-14"/>
          <w:w w:val="80"/>
          <w:kern w:val="48"/>
        </w:rPr>
        <w:t xml:space="preserve">Ο Πρόεδρος της Εταιρείας Τουριστικής Ανάπτυξης Λάρνακας κ. Ν. </w:t>
      </w:r>
      <w:proofErr w:type="spellStart"/>
      <w:r w:rsidR="00CC1967" w:rsidRPr="00CC1967">
        <w:rPr>
          <w:rFonts w:cs="Arial"/>
          <w:spacing w:val="-14"/>
          <w:w w:val="80"/>
          <w:kern w:val="48"/>
        </w:rPr>
        <w:t>Λευκαρίτης</w:t>
      </w:r>
      <w:proofErr w:type="spellEnd"/>
      <w:r w:rsidR="00CC1967" w:rsidRPr="00CC1967">
        <w:rPr>
          <w:rFonts w:cs="Arial"/>
          <w:spacing w:val="-14"/>
          <w:w w:val="80"/>
          <w:kern w:val="48"/>
        </w:rPr>
        <w:t xml:space="preserve"> στον χαιρετισμό του στο εν λόγω συνέδριο αναφέρθηκε στο σημαντικό ενδιαφέρον για επενδύσεις στον τομέα του τουρισμού, τονίζοντας ότι</w:t>
      </w:r>
      <w:r w:rsidR="00671B5A">
        <w:rPr>
          <w:rFonts w:cs="Arial"/>
          <w:spacing w:val="-14"/>
          <w:w w:val="80"/>
          <w:kern w:val="48"/>
        </w:rPr>
        <w:t>,</w:t>
      </w:r>
      <w:r w:rsidR="00CC1967" w:rsidRPr="00CC1967">
        <w:rPr>
          <w:rFonts w:cs="Arial"/>
          <w:spacing w:val="-14"/>
          <w:w w:val="80"/>
          <w:kern w:val="48"/>
        </w:rPr>
        <w:t xml:space="preserve"> τα τελευταία έξι χρόνια</w:t>
      </w:r>
      <w:r w:rsidR="00671B5A">
        <w:rPr>
          <w:rFonts w:cs="Arial"/>
          <w:spacing w:val="-14"/>
          <w:w w:val="80"/>
          <w:kern w:val="48"/>
        </w:rPr>
        <w:t>,</w:t>
      </w:r>
      <w:r w:rsidR="00CC1967" w:rsidRPr="00CC1967">
        <w:rPr>
          <w:rFonts w:cs="Arial"/>
          <w:spacing w:val="-14"/>
          <w:w w:val="80"/>
          <w:kern w:val="48"/>
        </w:rPr>
        <w:t xml:space="preserve"> έχουν δημιουργηθεί 15 νέες ξενοδοχειακές μονάδες στην πόλη, με συνολική δυναμικότητα 1472 κλίνες. Οι τουριστικές αφίξεις</w:t>
      </w:r>
      <w:r w:rsidR="003D1965">
        <w:rPr>
          <w:rFonts w:cs="Arial"/>
          <w:spacing w:val="-14"/>
          <w:w w:val="80"/>
          <w:kern w:val="48"/>
        </w:rPr>
        <w:t>,</w:t>
      </w:r>
      <w:r w:rsidR="00CC1967" w:rsidRPr="00CC1967">
        <w:rPr>
          <w:rFonts w:cs="Arial"/>
          <w:spacing w:val="-14"/>
          <w:w w:val="80"/>
          <w:kern w:val="48"/>
        </w:rPr>
        <w:t xml:space="preserve"> μάλιστα</w:t>
      </w:r>
      <w:r w:rsidR="003D1965">
        <w:rPr>
          <w:rFonts w:cs="Arial"/>
          <w:spacing w:val="-14"/>
          <w:w w:val="80"/>
          <w:kern w:val="48"/>
        </w:rPr>
        <w:t>,</w:t>
      </w:r>
      <w:r w:rsidR="00CC1967" w:rsidRPr="00CC1967">
        <w:rPr>
          <w:rFonts w:cs="Arial"/>
          <w:spacing w:val="-14"/>
          <w:w w:val="80"/>
          <w:kern w:val="48"/>
        </w:rPr>
        <w:t xml:space="preserve"> τα τελευταία έξι χρόνια αυξήθηκαν</w:t>
      </w:r>
      <w:r w:rsidR="00671B5A">
        <w:rPr>
          <w:rFonts w:cs="Arial"/>
          <w:spacing w:val="-14"/>
          <w:w w:val="80"/>
          <w:kern w:val="48"/>
        </w:rPr>
        <w:t>,</w:t>
      </w:r>
      <w:r w:rsidR="00CC1967" w:rsidRPr="00CC1967">
        <w:rPr>
          <w:rFonts w:cs="Arial"/>
          <w:spacing w:val="-14"/>
          <w:w w:val="80"/>
          <w:kern w:val="48"/>
        </w:rPr>
        <w:t xml:space="preserve"> κατά 100.000, αυξάνοντας και το μερίδιο της Λάρνακας στην τουριστική πίτα</w:t>
      </w:r>
      <w:r w:rsidR="00671B5A">
        <w:rPr>
          <w:rFonts w:cs="Arial"/>
          <w:spacing w:val="-14"/>
          <w:w w:val="80"/>
          <w:kern w:val="48"/>
        </w:rPr>
        <w:t>,</w:t>
      </w:r>
      <w:r w:rsidR="00CC1967" w:rsidRPr="00CC1967">
        <w:rPr>
          <w:rFonts w:cs="Arial"/>
          <w:spacing w:val="-14"/>
          <w:w w:val="80"/>
          <w:kern w:val="48"/>
        </w:rPr>
        <w:t xml:space="preserve"> στο περίπου 12%. Ο κ. </w:t>
      </w:r>
      <w:proofErr w:type="spellStart"/>
      <w:r w:rsidR="00CC1967" w:rsidRPr="00CC1967">
        <w:rPr>
          <w:rFonts w:cs="Arial"/>
          <w:spacing w:val="-14"/>
          <w:w w:val="80"/>
          <w:kern w:val="48"/>
        </w:rPr>
        <w:t>Λευκαρίτης</w:t>
      </w:r>
      <w:proofErr w:type="spellEnd"/>
      <w:r w:rsidR="00CC1967" w:rsidRPr="00CC1967">
        <w:rPr>
          <w:rFonts w:cs="Arial"/>
          <w:spacing w:val="-14"/>
          <w:w w:val="80"/>
          <w:kern w:val="48"/>
        </w:rPr>
        <w:t xml:space="preserve"> αναφερόμενος στις εξελίξεις γύρω από την ανάπτυξη της μαρίνας και του λιμανιού Λάρνακας από την εταιρία  </w:t>
      </w:r>
      <w:proofErr w:type="spellStart"/>
      <w:r w:rsidR="00CC1967" w:rsidRPr="00CC1967">
        <w:rPr>
          <w:rFonts w:cs="Arial"/>
          <w:spacing w:val="-14"/>
          <w:w w:val="80"/>
          <w:kern w:val="48"/>
        </w:rPr>
        <w:t>Kition</w:t>
      </w:r>
      <w:proofErr w:type="spellEnd"/>
      <w:r w:rsidR="00CC1967" w:rsidRPr="00CC1967">
        <w:rPr>
          <w:rFonts w:cs="Arial"/>
          <w:spacing w:val="-14"/>
          <w:w w:val="80"/>
          <w:kern w:val="48"/>
        </w:rPr>
        <w:t xml:space="preserve"> </w:t>
      </w:r>
      <w:proofErr w:type="spellStart"/>
      <w:r w:rsidR="00CC1967" w:rsidRPr="00CC1967">
        <w:rPr>
          <w:rFonts w:cs="Arial"/>
          <w:spacing w:val="-14"/>
          <w:w w:val="80"/>
          <w:kern w:val="48"/>
        </w:rPr>
        <w:t>Ocean</w:t>
      </w:r>
      <w:proofErr w:type="spellEnd"/>
      <w:r w:rsidR="00CC1967" w:rsidRPr="00CC1967">
        <w:rPr>
          <w:rFonts w:cs="Arial"/>
          <w:spacing w:val="-14"/>
          <w:w w:val="80"/>
          <w:kern w:val="48"/>
        </w:rPr>
        <w:t xml:space="preserve"> </w:t>
      </w:r>
      <w:proofErr w:type="spellStart"/>
      <w:r w:rsidR="00CC1967" w:rsidRPr="00CC1967">
        <w:rPr>
          <w:rFonts w:cs="Arial"/>
          <w:spacing w:val="-14"/>
          <w:w w:val="80"/>
          <w:kern w:val="48"/>
        </w:rPr>
        <w:t>Holdings</w:t>
      </w:r>
      <w:proofErr w:type="spellEnd"/>
      <w:r w:rsidR="00CC1967" w:rsidRPr="00CC1967">
        <w:rPr>
          <w:rFonts w:cs="Arial"/>
          <w:spacing w:val="-14"/>
          <w:w w:val="80"/>
          <w:kern w:val="48"/>
        </w:rPr>
        <w:t xml:space="preserve"> τόνισε ότι «οι κάτοικοι της πόλης πρέπει να αναλάβουν ρόλο, ώστε το έργο να υλοποιηθεί</w:t>
      </w:r>
      <w:r w:rsidR="00671B5A">
        <w:rPr>
          <w:rFonts w:cs="Arial"/>
          <w:spacing w:val="-14"/>
          <w:w w:val="80"/>
          <w:kern w:val="48"/>
        </w:rPr>
        <w:t>,</w:t>
      </w:r>
      <w:r w:rsidR="00CC1967" w:rsidRPr="00CC1967">
        <w:rPr>
          <w:rFonts w:cs="Arial"/>
          <w:spacing w:val="-14"/>
          <w:w w:val="80"/>
          <w:kern w:val="48"/>
        </w:rPr>
        <w:t xml:space="preserve"> επιτέλους». Υπενθύμισε δε</w:t>
      </w:r>
      <w:r w:rsidR="00671B5A">
        <w:rPr>
          <w:rFonts w:cs="Arial"/>
          <w:spacing w:val="-14"/>
          <w:w w:val="80"/>
          <w:kern w:val="48"/>
        </w:rPr>
        <w:t>,</w:t>
      </w:r>
      <w:r w:rsidR="00CC1967" w:rsidRPr="00CC1967">
        <w:rPr>
          <w:rFonts w:cs="Arial"/>
          <w:spacing w:val="-14"/>
          <w:w w:val="80"/>
          <w:kern w:val="48"/>
        </w:rPr>
        <w:t xml:space="preserve"> ότι «από το 1995</w:t>
      </w:r>
      <w:r w:rsidR="00671B5A">
        <w:rPr>
          <w:rFonts w:cs="Arial"/>
          <w:spacing w:val="-14"/>
          <w:w w:val="80"/>
          <w:kern w:val="48"/>
        </w:rPr>
        <w:t>,</w:t>
      </w:r>
      <w:r w:rsidR="00CC1967" w:rsidRPr="00CC1967">
        <w:rPr>
          <w:rFonts w:cs="Arial"/>
          <w:spacing w:val="-14"/>
          <w:w w:val="80"/>
          <w:kern w:val="48"/>
        </w:rPr>
        <w:t xml:space="preserve"> επί δικής του Προεδρίας στο ΕΒΕ Λάρνακας είχε συμφωνηθεί να προωθηθεί η ανάπτυξη της μαρίνας».</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rFonts w:cs="Arial"/>
          <w:spacing w:val="-14"/>
          <w:w w:val="80"/>
          <w:kern w:val="48"/>
        </w:rPr>
      </w:pPr>
      <w:r>
        <w:rPr>
          <w:b/>
          <w:color w:val="0070C0"/>
          <w:spacing w:val="-14"/>
          <w:w w:val="80"/>
          <w:kern w:val="48"/>
        </w:rPr>
        <w:t xml:space="preserve">      </w:t>
      </w:r>
      <w:r w:rsidR="00CC1967" w:rsidRPr="00CC1967">
        <w:rPr>
          <w:rFonts w:cs="Arial"/>
          <w:spacing w:val="-14"/>
          <w:w w:val="80"/>
          <w:kern w:val="48"/>
        </w:rPr>
        <w:t>Τέλος, αξίζει  να υπενθυμίσουμε ότι, όπως καταγγέλλουν οι ακτοπλόοι της Λάρνακας,  έναν χρόνο</w:t>
      </w:r>
      <w:r w:rsidR="00671B5A">
        <w:rPr>
          <w:rFonts w:cs="Arial"/>
          <w:spacing w:val="-14"/>
          <w:w w:val="80"/>
          <w:kern w:val="48"/>
        </w:rPr>
        <w:t xml:space="preserve">, </w:t>
      </w:r>
      <w:proofErr w:type="spellStart"/>
      <w:r w:rsidR="00671B5A">
        <w:rPr>
          <w:rFonts w:cs="Arial"/>
          <w:spacing w:val="-14"/>
          <w:w w:val="80"/>
          <w:kern w:val="48"/>
        </w:rPr>
        <w:t>πρί</w:t>
      </w:r>
      <w:r w:rsidR="00CC1967" w:rsidRPr="00CC1967">
        <w:rPr>
          <w:rFonts w:cs="Arial"/>
          <w:spacing w:val="-14"/>
          <w:w w:val="80"/>
          <w:kern w:val="48"/>
        </w:rPr>
        <w:t>ν</w:t>
      </w:r>
      <w:proofErr w:type="spellEnd"/>
      <w:r w:rsidR="00671B5A">
        <w:rPr>
          <w:rFonts w:cs="Arial"/>
          <w:spacing w:val="-14"/>
          <w:w w:val="80"/>
          <w:kern w:val="48"/>
        </w:rPr>
        <w:t>,</w:t>
      </w:r>
      <w:r w:rsidR="00CC1967" w:rsidRPr="00CC1967">
        <w:rPr>
          <w:rFonts w:cs="Arial"/>
          <w:spacing w:val="-14"/>
          <w:w w:val="80"/>
          <w:kern w:val="48"/>
        </w:rPr>
        <w:t xml:space="preserve"> η εταιρεία είχε επιβάλει</w:t>
      </w:r>
      <w:r w:rsidR="00CC1967">
        <w:rPr>
          <w:rFonts w:cs="Arial"/>
          <w:spacing w:val="-14"/>
          <w:w w:val="80"/>
          <w:kern w:val="48"/>
        </w:rPr>
        <w:t xml:space="preserve"> </w:t>
      </w:r>
      <w:r w:rsidR="00CC1967" w:rsidRPr="00CC1967">
        <w:rPr>
          <w:rFonts w:cs="Arial"/>
          <w:spacing w:val="-14"/>
          <w:w w:val="80"/>
          <w:kern w:val="48"/>
        </w:rPr>
        <w:t>αύξηση στα τέλη ελλιμενισμού, τη στιγμή που κατέγραφαν μεγάλες απώλειες εσόδων από το κλείσιμο της διατηρητέας αποβάθρας. Συγκεκριμένα</w:t>
      </w:r>
      <w:r w:rsidR="00671B5A">
        <w:rPr>
          <w:rFonts w:cs="Arial"/>
          <w:spacing w:val="-14"/>
          <w:w w:val="80"/>
          <w:kern w:val="48"/>
        </w:rPr>
        <w:t>,</w:t>
      </w:r>
      <w:r w:rsidR="00CC1967" w:rsidRPr="00CC1967">
        <w:rPr>
          <w:rFonts w:cs="Arial"/>
          <w:spacing w:val="-14"/>
          <w:w w:val="80"/>
          <w:kern w:val="48"/>
        </w:rPr>
        <w:t xml:space="preserve"> μόλις ανέλαβε η εταιρεία</w:t>
      </w:r>
      <w:r w:rsidR="00671B5A">
        <w:rPr>
          <w:rFonts w:cs="Arial"/>
          <w:spacing w:val="-14"/>
          <w:w w:val="80"/>
          <w:kern w:val="48"/>
        </w:rPr>
        <w:t>,</w:t>
      </w:r>
      <w:r w:rsidR="00CC1967" w:rsidRPr="00CC1967">
        <w:rPr>
          <w:rFonts w:cs="Arial"/>
          <w:spacing w:val="-14"/>
          <w:w w:val="80"/>
          <w:kern w:val="48"/>
        </w:rPr>
        <w:t xml:space="preserve"> επέβαλε αύξηση 15% στα κόμιστρα ισχυριζόμενη</w:t>
      </w:r>
      <w:r w:rsidR="00671B5A">
        <w:rPr>
          <w:rFonts w:cs="Arial"/>
          <w:spacing w:val="-14"/>
          <w:w w:val="80"/>
          <w:kern w:val="48"/>
        </w:rPr>
        <w:t>,</w:t>
      </w:r>
      <w:r w:rsidR="00CC1967" w:rsidRPr="00CC1967">
        <w:rPr>
          <w:rFonts w:cs="Arial"/>
          <w:spacing w:val="-14"/>
          <w:w w:val="80"/>
          <w:kern w:val="48"/>
        </w:rPr>
        <w:t xml:space="preserve"> ότι θα γίνουν υποδομές, ξενοδοχεία και ότι η αναμενόμενη αύξηση στην </w:t>
      </w:r>
      <w:proofErr w:type="spellStart"/>
      <w:r w:rsidR="00CC1967" w:rsidRPr="00CC1967">
        <w:rPr>
          <w:rFonts w:cs="Arial"/>
          <w:spacing w:val="-14"/>
          <w:w w:val="80"/>
          <w:kern w:val="48"/>
        </w:rPr>
        <w:t>επισκεψιμότητα</w:t>
      </w:r>
      <w:proofErr w:type="spellEnd"/>
      <w:r w:rsidR="00671B5A">
        <w:rPr>
          <w:rFonts w:cs="Arial"/>
          <w:spacing w:val="-14"/>
          <w:w w:val="80"/>
          <w:kern w:val="48"/>
        </w:rPr>
        <w:t xml:space="preserve"> </w:t>
      </w:r>
      <w:r w:rsidR="00CC1967" w:rsidRPr="00CC1967">
        <w:rPr>
          <w:rFonts w:cs="Arial"/>
          <w:spacing w:val="-14"/>
          <w:w w:val="80"/>
          <w:kern w:val="48"/>
        </w:rPr>
        <w:t xml:space="preserve">της μαρίνας επιβάλλει και </w:t>
      </w:r>
      <w:r w:rsidR="00671B5A">
        <w:rPr>
          <w:rFonts w:cs="Arial"/>
          <w:spacing w:val="-14"/>
          <w:w w:val="80"/>
          <w:kern w:val="48"/>
        </w:rPr>
        <w:t>αλλαγή</w:t>
      </w:r>
      <w:r w:rsidR="00CC1967" w:rsidRPr="00CC1967">
        <w:rPr>
          <w:rFonts w:cs="Arial"/>
          <w:spacing w:val="-14"/>
          <w:w w:val="80"/>
          <w:kern w:val="48"/>
        </w:rPr>
        <w:t xml:space="preserve"> της τιμολογιακής πολιτικής. Αντίστοιχες διαμαρτυρίες εκφράζουν και οι ιδιοκτήτες σκαφών αναψυχής στη μαρίνα Λάρνακας, οι οποίοι είχαν προειδοποιήσει τις αρμόδιες αρχές για την κακή εξέλιξη της πορείας υλοποίησης του έργου,  πραγματοποιώντας και σειρά κινητοποιήσεων. Ο πρόεδρος του Συνδέσμου Ελλιμενισμένων Σκαφών Κύπρου</w:t>
      </w:r>
      <w:r w:rsidR="00671B5A">
        <w:rPr>
          <w:rFonts w:cs="Arial"/>
          <w:spacing w:val="-14"/>
          <w:w w:val="80"/>
          <w:kern w:val="48"/>
        </w:rPr>
        <w:t>,</w:t>
      </w:r>
      <w:r w:rsidR="00CC1967" w:rsidRPr="00CC1967">
        <w:rPr>
          <w:rFonts w:cs="Arial"/>
          <w:spacing w:val="-14"/>
          <w:w w:val="80"/>
          <w:kern w:val="48"/>
        </w:rPr>
        <w:t xml:space="preserve"> κ. Κ. Στέκας</w:t>
      </w:r>
      <w:r w:rsidR="00671B5A">
        <w:rPr>
          <w:rFonts w:cs="Arial"/>
          <w:spacing w:val="-14"/>
          <w:w w:val="80"/>
          <w:kern w:val="48"/>
        </w:rPr>
        <w:t>,</w:t>
      </w:r>
      <w:r w:rsidR="00CC1967" w:rsidRPr="00CC1967">
        <w:rPr>
          <w:rFonts w:cs="Arial"/>
          <w:spacing w:val="-14"/>
          <w:w w:val="80"/>
          <w:kern w:val="48"/>
        </w:rPr>
        <w:t xml:space="preserve"> μάλιστα, σε δηλώσεις του στον τύπο, μίλησε για πολιτικές ευθύνες και ανάγκη απόδοσης τους σε όσους υπέγραψαν τη σχετική σύμβαση με την </w:t>
      </w:r>
      <w:proofErr w:type="spellStart"/>
      <w:r w:rsidR="00CC1967" w:rsidRPr="00CC1967">
        <w:rPr>
          <w:rFonts w:cs="Arial"/>
          <w:spacing w:val="-14"/>
          <w:w w:val="80"/>
          <w:kern w:val="48"/>
          <w:lang w:val="en-US"/>
        </w:rPr>
        <w:t>Kition</w:t>
      </w:r>
      <w:proofErr w:type="spellEnd"/>
    </w:p>
    <w:p w:rsidR="00A57508" w:rsidRDefault="00A57508" w:rsidP="00A57508">
      <w:pPr>
        <w:widowControl w:val="0"/>
        <w:tabs>
          <w:tab w:val="left" w:pos="284"/>
        </w:tabs>
        <w:autoSpaceDE w:val="0"/>
        <w:autoSpaceDN w:val="0"/>
        <w:adjustRightInd w:val="0"/>
        <w:spacing w:after="0" w:line="220" w:lineRule="exact"/>
        <w:ind w:left="142" w:right="57"/>
        <w:jc w:val="both"/>
        <w:outlineLvl w:val="0"/>
        <w:rPr>
          <w:rFonts w:cs="Arial"/>
          <w:spacing w:val="-14"/>
          <w:w w:val="80"/>
          <w:kern w:val="48"/>
        </w:rPr>
      </w:pPr>
    </w:p>
    <w:p w:rsidR="00A57508" w:rsidRDefault="000F7E62"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color w:val="31849B"/>
          <w:spacing w:val="-14"/>
          <w:w w:val="80"/>
          <w:kern w:val="48"/>
        </w:rPr>
        <w:t xml:space="preserve">5.3  </w:t>
      </w:r>
      <w:r w:rsidRPr="00B77D7A">
        <w:rPr>
          <w:rFonts w:cs="Arial"/>
          <w:b/>
          <w:bCs/>
          <w:color w:val="31849B"/>
          <w:spacing w:val="-14"/>
          <w:w w:val="80"/>
          <w:kern w:val="48"/>
        </w:rPr>
        <w:t>Μεταβιβάσεις ακινήτων ύψους 1,9 δισ. Ευρώ και πωλητήρια έγγραφα ύψους 4,2 δισ. το 2023 στην Κύπρο</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0F7E62">
        <w:rPr>
          <w:rFonts w:cs="Arial"/>
          <w:bCs/>
          <w:spacing w:val="-14"/>
          <w:w w:val="80"/>
          <w:kern w:val="48"/>
        </w:rPr>
        <w:t xml:space="preserve"> </w:t>
      </w:r>
      <w:r w:rsidR="003D1965">
        <w:rPr>
          <w:rFonts w:cs="Arial"/>
          <w:bCs/>
          <w:spacing w:val="-14"/>
          <w:w w:val="80"/>
          <w:kern w:val="48"/>
        </w:rPr>
        <w:t>Η κ/</w:t>
      </w:r>
      <w:r w:rsidR="000F7E62" w:rsidRPr="000F7E62">
        <w:rPr>
          <w:rFonts w:cs="Arial"/>
          <w:bCs/>
          <w:spacing w:val="-14"/>
          <w:w w:val="80"/>
          <w:kern w:val="48"/>
        </w:rPr>
        <w:t>αγορά ακινήτων κατέγραψε σημαντικές επιδόσεις και συνέχισε να τροφοδοτεί την κ/ οικονομία το 2023. Με βάση τα στοιχεία του Τμήματος Κτηματολογίου και Χωρομετρίας, τα οποία επεξεργάζεται και παρουσιάζει, σε τριμηνιαία βάση, το Συμβούλιο Εγγραφής Κτηματομεσιτών</w:t>
      </w:r>
      <w:r w:rsidR="00671B5A">
        <w:rPr>
          <w:rFonts w:cs="Arial"/>
          <w:bCs/>
          <w:spacing w:val="-14"/>
          <w:w w:val="80"/>
          <w:kern w:val="48"/>
        </w:rPr>
        <w:t>,</w:t>
      </w:r>
      <w:r w:rsidR="000F7E62" w:rsidRPr="000F7E62">
        <w:rPr>
          <w:rFonts w:cs="Arial"/>
          <w:bCs/>
          <w:spacing w:val="-14"/>
          <w:w w:val="80"/>
          <w:kern w:val="48"/>
        </w:rPr>
        <w:t xml:space="preserve"> το 2023</w:t>
      </w:r>
      <w:r w:rsidR="00671B5A">
        <w:rPr>
          <w:rFonts w:cs="Arial"/>
          <w:bCs/>
          <w:spacing w:val="-14"/>
          <w:w w:val="80"/>
          <w:kern w:val="48"/>
        </w:rPr>
        <w:t>,</w:t>
      </w:r>
      <w:r w:rsidR="000F7E62" w:rsidRPr="000F7E62">
        <w:rPr>
          <w:rFonts w:cs="Arial"/>
          <w:bCs/>
          <w:spacing w:val="-14"/>
          <w:w w:val="80"/>
          <w:kern w:val="48"/>
        </w:rPr>
        <w:t xml:space="preserve"> υλοποιήθηκαν</w:t>
      </w:r>
      <w:r w:rsidR="003D1965">
        <w:rPr>
          <w:rFonts w:cs="Arial"/>
          <w:bCs/>
          <w:spacing w:val="-14"/>
          <w:w w:val="80"/>
          <w:kern w:val="48"/>
        </w:rPr>
        <w:t>,</w:t>
      </w:r>
      <w:r w:rsidR="000F7E62" w:rsidRPr="000F7E62">
        <w:rPr>
          <w:rFonts w:cs="Arial"/>
          <w:bCs/>
          <w:spacing w:val="-14"/>
          <w:w w:val="80"/>
          <w:kern w:val="48"/>
        </w:rPr>
        <w:t xml:space="preserve"> σε </w:t>
      </w:r>
      <w:proofErr w:type="spellStart"/>
      <w:r w:rsidR="000F7E62" w:rsidRPr="000F7E62">
        <w:rPr>
          <w:rFonts w:cs="Arial"/>
          <w:bCs/>
          <w:spacing w:val="-14"/>
          <w:w w:val="80"/>
          <w:kern w:val="48"/>
        </w:rPr>
        <w:t>παγκύπριο</w:t>
      </w:r>
      <w:proofErr w:type="spellEnd"/>
      <w:r w:rsidR="000F7E62" w:rsidRPr="000F7E62">
        <w:rPr>
          <w:rFonts w:cs="Arial"/>
          <w:bCs/>
          <w:spacing w:val="-14"/>
          <w:w w:val="80"/>
          <w:kern w:val="48"/>
        </w:rPr>
        <w:t xml:space="preserve"> επίπεδο</w:t>
      </w:r>
      <w:r w:rsidR="003D1965">
        <w:rPr>
          <w:rFonts w:cs="Arial"/>
          <w:bCs/>
          <w:spacing w:val="-14"/>
          <w:w w:val="80"/>
          <w:kern w:val="48"/>
        </w:rPr>
        <w:t>,</w:t>
      </w:r>
      <w:r w:rsidR="000F7E62" w:rsidRPr="000F7E62">
        <w:rPr>
          <w:rFonts w:cs="Arial"/>
          <w:bCs/>
          <w:spacing w:val="-14"/>
          <w:w w:val="80"/>
          <w:kern w:val="48"/>
        </w:rPr>
        <w:t xml:space="preserve"> 12.215 μεταβιβάσεις ακινήτων</w:t>
      </w:r>
      <w:r w:rsidR="003D1965">
        <w:rPr>
          <w:rFonts w:cs="Arial"/>
          <w:bCs/>
          <w:spacing w:val="-14"/>
          <w:w w:val="80"/>
          <w:kern w:val="48"/>
        </w:rPr>
        <w:t>,</w:t>
      </w:r>
      <w:r w:rsidR="000F7E62" w:rsidRPr="000F7E62">
        <w:rPr>
          <w:rFonts w:cs="Arial"/>
          <w:bCs/>
          <w:spacing w:val="-14"/>
          <w:w w:val="80"/>
          <w:kern w:val="48"/>
        </w:rPr>
        <w:t xml:space="preserve"> συνολικής αξίας 1,9 δισ. Ευρώ και κατετέθησαν 12.281 πωλητήρια έγγραφα</w:t>
      </w:r>
      <w:r w:rsidR="00671B5A">
        <w:rPr>
          <w:rFonts w:cs="Arial"/>
          <w:bCs/>
          <w:spacing w:val="-14"/>
          <w:w w:val="80"/>
          <w:kern w:val="48"/>
        </w:rPr>
        <w:t>,</w:t>
      </w:r>
      <w:r w:rsidR="000F7E62" w:rsidRPr="000F7E62">
        <w:rPr>
          <w:rFonts w:cs="Arial"/>
          <w:bCs/>
          <w:spacing w:val="-14"/>
          <w:w w:val="80"/>
          <w:kern w:val="48"/>
        </w:rPr>
        <w:t xml:space="preserve"> συνολικής αξίας 4,2 δις Ευρώ.</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0F7E62" w:rsidRPr="000F7E62">
        <w:rPr>
          <w:rFonts w:cs="Arial"/>
          <w:bCs/>
          <w:spacing w:val="-14"/>
          <w:w w:val="80"/>
          <w:kern w:val="48"/>
        </w:rPr>
        <w:t xml:space="preserve">Σύμφωνα με τον Πρόεδρο του Συμβουλίου Εγγραφής Κτηματομεσιτών κ. Μαρ. </w:t>
      </w:r>
      <w:proofErr w:type="spellStart"/>
      <w:r w:rsidR="000F7E62" w:rsidRPr="000F7E62">
        <w:rPr>
          <w:rFonts w:cs="Arial"/>
          <w:bCs/>
          <w:spacing w:val="-14"/>
          <w:w w:val="80"/>
          <w:kern w:val="48"/>
        </w:rPr>
        <w:t>Κυναιγείρου</w:t>
      </w:r>
      <w:proofErr w:type="spellEnd"/>
      <w:r w:rsidR="00671B5A">
        <w:rPr>
          <w:rFonts w:cs="Arial"/>
          <w:bCs/>
          <w:spacing w:val="-14"/>
          <w:w w:val="80"/>
          <w:kern w:val="48"/>
        </w:rPr>
        <w:t>,</w:t>
      </w:r>
      <w:r w:rsidR="000F7E62" w:rsidRPr="000F7E62">
        <w:rPr>
          <w:rFonts w:cs="Arial"/>
          <w:bCs/>
          <w:spacing w:val="-14"/>
          <w:w w:val="80"/>
          <w:kern w:val="48"/>
        </w:rPr>
        <w:t xml:space="preserve"> και το 2023, παρά τις μεγάλες προκλήσεις, που επηρεάζουν τη ζήτηση, η κ/αγορά ακινήτων άντεξε και συνέχισε να αναπτύσσεται. Η συνεισφορ</w:t>
      </w:r>
      <w:r w:rsidR="00C613C1">
        <w:rPr>
          <w:rFonts w:cs="Arial"/>
          <w:bCs/>
          <w:spacing w:val="-14"/>
          <w:w w:val="80"/>
          <w:kern w:val="48"/>
        </w:rPr>
        <w:t>ά του τομέα στην κ/</w:t>
      </w:r>
      <w:r w:rsidR="000F7E62" w:rsidRPr="000F7E62">
        <w:rPr>
          <w:rFonts w:cs="Arial"/>
          <w:bCs/>
          <w:spacing w:val="-14"/>
          <w:w w:val="80"/>
          <w:kern w:val="48"/>
        </w:rPr>
        <w:t xml:space="preserve">οικονομία </w:t>
      </w:r>
      <w:r w:rsidR="00C613C1">
        <w:rPr>
          <w:rFonts w:cs="Arial"/>
          <w:bCs/>
          <w:spacing w:val="-14"/>
          <w:w w:val="80"/>
          <w:kern w:val="48"/>
        </w:rPr>
        <w:t xml:space="preserve"> </w:t>
      </w:r>
      <w:r w:rsidR="000F7E62" w:rsidRPr="000F7E62">
        <w:rPr>
          <w:rFonts w:cs="Arial"/>
          <w:bCs/>
          <w:spacing w:val="-14"/>
          <w:w w:val="80"/>
          <w:kern w:val="48"/>
        </w:rPr>
        <w:t>είναι σημαντική και καλούνται</w:t>
      </w:r>
      <w:r w:rsidR="00C613C1">
        <w:rPr>
          <w:rFonts w:cs="Arial"/>
          <w:bCs/>
          <w:spacing w:val="-14"/>
          <w:w w:val="80"/>
          <w:kern w:val="48"/>
        </w:rPr>
        <w:t>,</w:t>
      </w:r>
      <w:r w:rsidR="000F7E62" w:rsidRPr="000F7E62">
        <w:rPr>
          <w:rFonts w:cs="Arial"/>
          <w:bCs/>
          <w:spacing w:val="-14"/>
          <w:w w:val="80"/>
          <w:kern w:val="48"/>
        </w:rPr>
        <w:t xml:space="preserve"> τόσο οι ιδιοκτήτες με τον </w:t>
      </w:r>
      <w:proofErr w:type="spellStart"/>
      <w:r w:rsidR="000F7E62" w:rsidRPr="000F7E62">
        <w:rPr>
          <w:rFonts w:cs="Arial"/>
          <w:bCs/>
          <w:spacing w:val="-14"/>
          <w:w w:val="80"/>
          <w:kern w:val="48"/>
        </w:rPr>
        <w:t>εξορθολογισμό</w:t>
      </w:r>
      <w:proofErr w:type="spellEnd"/>
      <w:r w:rsidR="000F7E62" w:rsidRPr="000F7E62">
        <w:rPr>
          <w:rFonts w:cs="Arial"/>
          <w:bCs/>
          <w:spacing w:val="-14"/>
          <w:w w:val="80"/>
          <w:kern w:val="48"/>
        </w:rPr>
        <w:t xml:space="preserve"> των τιμών των ακινήτων</w:t>
      </w:r>
      <w:r w:rsidR="00C613C1">
        <w:rPr>
          <w:rFonts w:cs="Arial"/>
          <w:bCs/>
          <w:spacing w:val="-14"/>
          <w:w w:val="80"/>
          <w:kern w:val="48"/>
        </w:rPr>
        <w:t>,</w:t>
      </w:r>
      <w:r w:rsidR="000F7E62" w:rsidRPr="000F7E62">
        <w:rPr>
          <w:rFonts w:cs="Arial"/>
          <w:bCs/>
          <w:spacing w:val="-14"/>
          <w:w w:val="80"/>
          <w:kern w:val="48"/>
        </w:rPr>
        <w:t xml:space="preserve"> όσο και το κράτος με τις πολιτικές του</w:t>
      </w:r>
      <w:r w:rsidR="00671B5A">
        <w:rPr>
          <w:rFonts w:cs="Arial"/>
          <w:bCs/>
          <w:spacing w:val="-14"/>
          <w:w w:val="80"/>
          <w:kern w:val="48"/>
        </w:rPr>
        <w:t>,</w:t>
      </w:r>
      <w:r w:rsidR="000F7E62" w:rsidRPr="000F7E62">
        <w:rPr>
          <w:rFonts w:cs="Arial"/>
          <w:bCs/>
          <w:spacing w:val="-14"/>
          <w:w w:val="80"/>
          <w:kern w:val="48"/>
        </w:rPr>
        <w:t xml:space="preserve"> να διασφαλίσουν τη βιωσιμότητά του.</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C613C1">
        <w:rPr>
          <w:rFonts w:cs="Arial"/>
          <w:bCs/>
          <w:spacing w:val="-14"/>
          <w:w w:val="80"/>
          <w:kern w:val="48"/>
        </w:rPr>
        <w:t>Βαρύνουσας σημασίας για την κ/</w:t>
      </w:r>
      <w:r w:rsidR="000F7E62" w:rsidRPr="000F7E62">
        <w:rPr>
          <w:rFonts w:cs="Arial"/>
          <w:bCs/>
          <w:spacing w:val="-14"/>
          <w:w w:val="80"/>
          <w:kern w:val="48"/>
        </w:rPr>
        <w:t>αγορά ακινήτων μπορεί να χαρακτηριστεί η επαρχία Λεμεσού, η οποία είχε τα περισσότερα πωλητήρια έγγραφα (4.407), αξίας</w:t>
      </w:r>
      <w:r w:rsidR="00671B5A">
        <w:rPr>
          <w:rFonts w:cs="Arial"/>
          <w:bCs/>
          <w:spacing w:val="-14"/>
          <w:w w:val="80"/>
          <w:kern w:val="48"/>
        </w:rPr>
        <w:t>,</w:t>
      </w:r>
      <w:r w:rsidR="000F7E62" w:rsidRPr="000F7E62">
        <w:rPr>
          <w:rFonts w:cs="Arial"/>
          <w:bCs/>
          <w:spacing w:val="-14"/>
          <w:w w:val="80"/>
          <w:kern w:val="48"/>
        </w:rPr>
        <w:t xml:space="preserve"> πέραν των 2,2 δισ. Ευρώ. Παρά το γεγονός ότι βρίσκεται πίσω από τη Λευκωσία σε αριθμό μεταβιβάσεων (3.250), σε επίπεδο αξιών την ξεπερνά, αφού η αξία τους ανήλθε σε 611 εκ. Ευρώ. Η επαρχία Λευκωσίας κατέγραψε</w:t>
      </w:r>
      <w:r w:rsidR="00C613C1">
        <w:rPr>
          <w:rFonts w:cs="Arial"/>
          <w:bCs/>
          <w:spacing w:val="-14"/>
          <w:w w:val="80"/>
          <w:kern w:val="48"/>
        </w:rPr>
        <w:t>,</w:t>
      </w:r>
      <w:r w:rsidR="000F7E62" w:rsidRPr="000F7E62">
        <w:rPr>
          <w:rFonts w:cs="Arial"/>
          <w:bCs/>
          <w:spacing w:val="-14"/>
          <w:w w:val="80"/>
          <w:kern w:val="48"/>
        </w:rPr>
        <w:t xml:space="preserve"> το 2023</w:t>
      </w:r>
      <w:r w:rsidR="00C613C1">
        <w:rPr>
          <w:rFonts w:cs="Arial"/>
          <w:bCs/>
          <w:spacing w:val="-14"/>
          <w:w w:val="80"/>
          <w:kern w:val="48"/>
        </w:rPr>
        <w:t>,</w:t>
      </w:r>
      <w:r w:rsidR="000F7E62" w:rsidRPr="000F7E62">
        <w:rPr>
          <w:rFonts w:cs="Arial"/>
          <w:bCs/>
          <w:spacing w:val="-14"/>
          <w:w w:val="80"/>
          <w:kern w:val="48"/>
        </w:rPr>
        <w:t xml:space="preserve"> τις περισσότερες μεταβιβάσεις ακινήτων (4.076)</w:t>
      </w:r>
      <w:r w:rsidR="00C613C1">
        <w:rPr>
          <w:rFonts w:cs="Arial"/>
          <w:bCs/>
          <w:spacing w:val="-14"/>
          <w:w w:val="80"/>
          <w:kern w:val="48"/>
        </w:rPr>
        <w:t>.</w:t>
      </w:r>
      <w:r w:rsidR="000F7E62" w:rsidRPr="000F7E62">
        <w:rPr>
          <w:rFonts w:cs="Arial"/>
          <w:bCs/>
          <w:spacing w:val="-14"/>
          <w:w w:val="80"/>
          <w:kern w:val="48"/>
        </w:rPr>
        <w:t xml:space="preserve"> </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0F7E62" w:rsidRPr="000F7E62">
        <w:rPr>
          <w:rFonts w:cs="Arial"/>
          <w:bCs/>
          <w:spacing w:val="-14"/>
          <w:w w:val="80"/>
          <w:kern w:val="48"/>
        </w:rPr>
        <w:t>Στην ανάλυση των πωλητηρίων εγγράφων η επαρχία Λευκωσίας υποχωρεί στην τέταρτη θέση της πεντάδας των επαρχιών της ελεύθερης Κύπρου σε όγκο πράξεων (2.366) και σε αξίες (522,2 εκ. Ευρώ) στην τρίτη θέση, πίσω από Λεμεσό και Πάφο. Η επαρχία Πάφου διατήρησε και το 2023 τη δυναμική της στην αγορά ακινήτων με 1.542 μεταβιβάσεις</w:t>
      </w:r>
      <w:r w:rsidR="00067BA9">
        <w:rPr>
          <w:rFonts w:cs="Arial"/>
          <w:bCs/>
          <w:spacing w:val="-14"/>
          <w:w w:val="80"/>
          <w:kern w:val="48"/>
        </w:rPr>
        <w:t>,</w:t>
      </w:r>
      <w:r w:rsidR="000F7E62" w:rsidRPr="000F7E62">
        <w:rPr>
          <w:rFonts w:cs="Arial"/>
          <w:bCs/>
          <w:spacing w:val="-14"/>
          <w:w w:val="80"/>
          <w:kern w:val="48"/>
        </w:rPr>
        <w:t xml:space="preserve"> αξίας 243,3 εκ. Ευρώ και 2.524 πωλητήρια έγγραφα</w:t>
      </w:r>
      <w:r w:rsidR="00067BA9">
        <w:rPr>
          <w:rFonts w:cs="Arial"/>
          <w:bCs/>
          <w:spacing w:val="-14"/>
          <w:w w:val="80"/>
          <w:kern w:val="48"/>
        </w:rPr>
        <w:t>,</w:t>
      </w:r>
      <w:r w:rsidR="000F7E62" w:rsidRPr="000F7E62">
        <w:rPr>
          <w:rFonts w:cs="Arial"/>
          <w:bCs/>
          <w:spacing w:val="-14"/>
          <w:w w:val="80"/>
          <w:kern w:val="48"/>
        </w:rPr>
        <w:t xml:space="preserve"> αξίας 790,9 εκ. Ευρώ. Οι επιδόσεις αυτές την κατατάσσουν 4</w:t>
      </w:r>
      <w:r w:rsidR="000F7E62" w:rsidRPr="000F7E62">
        <w:rPr>
          <w:rFonts w:cs="Arial"/>
          <w:bCs/>
          <w:spacing w:val="-14"/>
          <w:w w:val="80"/>
          <w:kern w:val="48"/>
          <w:vertAlign w:val="superscript"/>
        </w:rPr>
        <w:t>η</w:t>
      </w:r>
      <w:r w:rsidR="000F7E62" w:rsidRPr="000F7E62">
        <w:rPr>
          <w:rFonts w:cs="Arial"/>
          <w:bCs/>
          <w:spacing w:val="-14"/>
          <w:w w:val="80"/>
          <w:kern w:val="48"/>
        </w:rPr>
        <w:t xml:space="preserve"> σε όγκο και αξίες μεταβιβάσεων. Σε επίπεδο πωλητηρίων εγγράφων, ωστόσο, η Πάφος είναι 2</w:t>
      </w:r>
      <w:r w:rsidR="000F7E62" w:rsidRPr="000F7E62">
        <w:rPr>
          <w:rFonts w:cs="Arial"/>
          <w:bCs/>
          <w:spacing w:val="-14"/>
          <w:w w:val="80"/>
          <w:kern w:val="48"/>
          <w:vertAlign w:val="superscript"/>
        </w:rPr>
        <w:t>η</w:t>
      </w:r>
      <w:r w:rsidR="000F7E62" w:rsidRPr="000F7E62">
        <w:rPr>
          <w:rFonts w:cs="Arial"/>
          <w:bCs/>
          <w:spacing w:val="-14"/>
          <w:w w:val="80"/>
          <w:kern w:val="48"/>
        </w:rPr>
        <w:t xml:space="preserve">   μετά τη Λεμεσό και σε αξίες και σε όγκο πράξεων. Η επαρχία Λάρνακας</w:t>
      </w:r>
      <w:r w:rsidR="00067BA9">
        <w:rPr>
          <w:rFonts w:cs="Arial"/>
          <w:bCs/>
          <w:spacing w:val="-14"/>
          <w:w w:val="80"/>
          <w:kern w:val="48"/>
        </w:rPr>
        <w:t>,</w:t>
      </w:r>
      <w:r w:rsidR="000F7E62" w:rsidRPr="000F7E62">
        <w:rPr>
          <w:rFonts w:cs="Arial"/>
          <w:bCs/>
          <w:spacing w:val="-14"/>
          <w:w w:val="80"/>
          <w:kern w:val="48"/>
        </w:rPr>
        <w:t xml:space="preserve"> το έτος αυτό</w:t>
      </w:r>
      <w:r w:rsidR="00067BA9">
        <w:rPr>
          <w:rFonts w:cs="Arial"/>
          <w:bCs/>
          <w:spacing w:val="-14"/>
          <w:w w:val="80"/>
          <w:kern w:val="48"/>
        </w:rPr>
        <w:t>,</w:t>
      </w:r>
      <w:r w:rsidR="000F7E62" w:rsidRPr="000F7E62">
        <w:rPr>
          <w:rFonts w:cs="Arial"/>
          <w:bCs/>
          <w:spacing w:val="-14"/>
          <w:w w:val="80"/>
          <w:kern w:val="48"/>
        </w:rPr>
        <w:t xml:space="preserve"> έκανε ακόμη πιο αισθητή την παρουσία της στην αγορά των ακινήτων</w:t>
      </w:r>
      <w:r w:rsidR="00671B5A">
        <w:rPr>
          <w:rFonts w:cs="Arial"/>
          <w:bCs/>
          <w:spacing w:val="-14"/>
          <w:w w:val="80"/>
          <w:kern w:val="48"/>
        </w:rPr>
        <w:t>,</w:t>
      </w:r>
      <w:r w:rsidR="000F7E62" w:rsidRPr="000F7E62">
        <w:rPr>
          <w:rFonts w:cs="Arial"/>
          <w:bCs/>
          <w:spacing w:val="-14"/>
          <w:w w:val="80"/>
          <w:kern w:val="48"/>
        </w:rPr>
        <w:t xml:space="preserve"> με 2.584 μεταβιβάσεις</w:t>
      </w:r>
      <w:r w:rsidR="00067BA9">
        <w:rPr>
          <w:rFonts w:cs="Arial"/>
          <w:bCs/>
          <w:spacing w:val="-14"/>
          <w:w w:val="80"/>
          <w:kern w:val="48"/>
        </w:rPr>
        <w:t>,</w:t>
      </w:r>
      <w:r w:rsidR="000F7E62" w:rsidRPr="000F7E62">
        <w:rPr>
          <w:rFonts w:cs="Arial"/>
          <w:bCs/>
          <w:spacing w:val="-14"/>
          <w:w w:val="80"/>
          <w:kern w:val="48"/>
        </w:rPr>
        <w:t xml:space="preserve"> αξίας 366,4 εκ. Ευρώ και 2.467 πωλητήρια έγγραφα</w:t>
      </w:r>
      <w:r w:rsidR="00067BA9">
        <w:rPr>
          <w:rFonts w:cs="Arial"/>
          <w:bCs/>
          <w:spacing w:val="-14"/>
          <w:w w:val="80"/>
          <w:kern w:val="48"/>
        </w:rPr>
        <w:t>,</w:t>
      </w:r>
      <w:r w:rsidR="000F7E62" w:rsidRPr="000F7E62">
        <w:rPr>
          <w:rFonts w:cs="Arial"/>
          <w:bCs/>
          <w:spacing w:val="-14"/>
          <w:w w:val="80"/>
          <w:kern w:val="48"/>
        </w:rPr>
        <w:t xml:space="preserve"> αξίας 507 εκ. Ευρώ.</w:t>
      </w:r>
      <w:r w:rsidR="00067BA9">
        <w:rPr>
          <w:rFonts w:cs="Arial"/>
          <w:bCs/>
          <w:spacing w:val="-14"/>
          <w:w w:val="80"/>
          <w:kern w:val="48"/>
        </w:rPr>
        <w:t xml:space="preserve"> Η μικρότερη σε μέγεθος στην κ/</w:t>
      </w:r>
      <w:r w:rsidR="000F7E62" w:rsidRPr="000F7E62">
        <w:rPr>
          <w:rFonts w:cs="Arial"/>
          <w:bCs/>
          <w:spacing w:val="-14"/>
          <w:w w:val="80"/>
          <w:kern w:val="48"/>
        </w:rPr>
        <w:t>αγορά, η ελεύθερη Επαρχία Αμμοχώστου, κατέγραψε ικανοποιητική κινητικότητα</w:t>
      </w:r>
      <w:r w:rsidR="00067BA9">
        <w:rPr>
          <w:rFonts w:cs="Arial"/>
          <w:bCs/>
          <w:spacing w:val="-14"/>
          <w:w w:val="80"/>
          <w:kern w:val="48"/>
        </w:rPr>
        <w:t>,</w:t>
      </w:r>
      <w:r w:rsidR="000F7E62" w:rsidRPr="000F7E62">
        <w:rPr>
          <w:rFonts w:cs="Arial"/>
          <w:bCs/>
          <w:spacing w:val="-14"/>
          <w:w w:val="80"/>
          <w:kern w:val="48"/>
        </w:rPr>
        <w:t xml:space="preserve"> το 2023, με 763 μεταβιβάσεις</w:t>
      </w:r>
      <w:r w:rsidR="00067BA9">
        <w:rPr>
          <w:rFonts w:cs="Arial"/>
          <w:bCs/>
          <w:spacing w:val="-14"/>
          <w:w w:val="80"/>
          <w:kern w:val="48"/>
        </w:rPr>
        <w:t>,</w:t>
      </w:r>
      <w:r w:rsidR="000F7E62" w:rsidRPr="000F7E62">
        <w:rPr>
          <w:rFonts w:cs="Arial"/>
          <w:bCs/>
          <w:spacing w:val="-14"/>
          <w:w w:val="80"/>
          <w:kern w:val="48"/>
        </w:rPr>
        <w:t xml:space="preserve"> αξίας 132,2 εκ. Ευρώ και 517 πωλητήρια έγγραφα</w:t>
      </w:r>
      <w:r w:rsidR="00067BA9">
        <w:rPr>
          <w:rFonts w:cs="Arial"/>
          <w:bCs/>
          <w:spacing w:val="-14"/>
          <w:w w:val="80"/>
          <w:kern w:val="48"/>
        </w:rPr>
        <w:t>,</w:t>
      </w:r>
      <w:r w:rsidR="000F7E62" w:rsidRPr="000F7E62">
        <w:rPr>
          <w:rFonts w:cs="Arial"/>
          <w:bCs/>
          <w:spacing w:val="-14"/>
          <w:w w:val="80"/>
          <w:kern w:val="48"/>
        </w:rPr>
        <w:t xml:space="preserve"> αξίας</w:t>
      </w:r>
      <w:r w:rsidR="00067BA9">
        <w:rPr>
          <w:rFonts w:cs="Arial"/>
          <w:bCs/>
          <w:spacing w:val="-14"/>
          <w:w w:val="80"/>
          <w:kern w:val="48"/>
        </w:rPr>
        <w:t>,</w:t>
      </w:r>
      <w:r w:rsidR="000F7E62" w:rsidRPr="000F7E62">
        <w:rPr>
          <w:rFonts w:cs="Arial"/>
          <w:bCs/>
          <w:spacing w:val="-14"/>
          <w:w w:val="80"/>
          <w:kern w:val="48"/>
        </w:rPr>
        <w:t xml:space="preserve"> 115,5 εκ. </w:t>
      </w:r>
      <w:r w:rsidR="000F7E62" w:rsidRPr="000F7E62">
        <w:rPr>
          <w:rFonts w:cs="Arial"/>
          <w:bCs/>
          <w:spacing w:val="-14"/>
          <w:w w:val="80"/>
          <w:kern w:val="48"/>
        </w:rPr>
        <w:lastRenderedPageBreak/>
        <w:t>Ευρώ.</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0F7E62" w:rsidRPr="000F7E62">
        <w:rPr>
          <w:rFonts w:cs="Arial"/>
          <w:bCs/>
          <w:spacing w:val="-14"/>
          <w:w w:val="80"/>
          <w:kern w:val="48"/>
        </w:rPr>
        <w:t xml:space="preserve">Παράλληλα, σημειώνεται ότι </w:t>
      </w:r>
      <w:r w:rsidR="000F7E62" w:rsidRPr="000F7E62">
        <w:rPr>
          <w:rFonts w:cs="Arial"/>
          <w:bCs/>
          <w:iCs/>
          <w:spacing w:val="-14"/>
          <w:w w:val="80"/>
          <w:kern w:val="48"/>
        </w:rPr>
        <w:t> </w:t>
      </w:r>
      <w:r w:rsidR="000F7E62" w:rsidRPr="000F7E62">
        <w:rPr>
          <w:rFonts w:cs="Arial"/>
          <w:bCs/>
          <w:spacing w:val="-14"/>
          <w:w w:val="80"/>
          <w:kern w:val="48"/>
        </w:rPr>
        <w:t>οι 50 μεγαλύτερες σε αξία πράξεις για ακίνητα (δέκα</w:t>
      </w:r>
      <w:r w:rsidR="00067BA9">
        <w:rPr>
          <w:rFonts w:cs="Arial"/>
          <w:bCs/>
          <w:spacing w:val="-14"/>
          <w:w w:val="80"/>
          <w:kern w:val="48"/>
        </w:rPr>
        <w:t>,</w:t>
      </w:r>
      <w:r w:rsidR="000F7E62" w:rsidRPr="000F7E62">
        <w:rPr>
          <w:rFonts w:cs="Arial"/>
          <w:bCs/>
          <w:spacing w:val="-14"/>
          <w:w w:val="80"/>
          <w:kern w:val="48"/>
        </w:rPr>
        <w:t xml:space="preserve"> ανά επαρχία), που ολοκληρώθηκαν στην Κύπρο, το 2023</w:t>
      </w:r>
      <w:r w:rsidR="00067BA9">
        <w:rPr>
          <w:rFonts w:cs="Arial"/>
          <w:bCs/>
          <w:spacing w:val="-14"/>
          <w:w w:val="80"/>
          <w:kern w:val="48"/>
        </w:rPr>
        <w:t>,</w:t>
      </w:r>
      <w:r w:rsidR="000F7E62" w:rsidRPr="000F7E62">
        <w:rPr>
          <w:rFonts w:cs="Arial"/>
          <w:bCs/>
          <w:spacing w:val="-14"/>
          <w:w w:val="80"/>
          <w:kern w:val="48"/>
        </w:rPr>
        <w:t xml:space="preserve"> είχαν </w:t>
      </w:r>
      <w:r w:rsidR="000F7E62" w:rsidRPr="000F7E62">
        <w:rPr>
          <w:rFonts w:cs="Arial"/>
          <w:bCs/>
          <w:iCs/>
          <w:spacing w:val="-14"/>
          <w:w w:val="80"/>
          <w:kern w:val="48"/>
        </w:rPr>
        <w:t>συ</w:t>
      </w:r>
      <w:r w:rsidR="000F7E62" w:rsidRPr="000F7E62">
        <w:rPr>
          <w:rFonts w:cs="Arial"/>
          <w:bCs/>
          <w:spacing w:val="-14"/>
          <w:w w:val="80"/>
          <w:kern w:val="48"/>
        </w:rPr>
        <w:t>νολική αξία</w:t>
      </w:r>
      <w:r w:rsidR="00067BA9">
        <w:rPr>
          <w:rFonts w:cs="Arial"/>
          <w:bCs/>
          <w:spacing w:val="-14"/>
          <w:w w:val="80"/>
          <w:kern w:val="48"/>
        </w:rPr>
        <w:t>,</w:t>
      </w:r>
      <w:r w:rsidR="000F7E62" w:rsidRPr="000F7E62">
        <w:rPr>
          <w:rFonts w:cs="Arial"/>
          <w:bCs/>
          <w:spacing w:val="-14"/>
          <w:w w:val="80"/>
          <w:kern w:val="48"/>
        </w:rPr>
        <w:t xml:space="preserve"> 285,8 εκ. Ευρώ, με τις 10 ακριβότερες πωλήσεις να αφορούν συνολική αξία 120,4 εκ. Ευρώ. Από αυτές τις 10</w:t>
      </w:r>
      <w:r w:rsidR="00671B5A">
        <w:rPr>
          <w:rFonts w:cs="Arial"/>
          <w:bCs/>
          <w:spacing w:val="-14"/>
          <w:w w:val="80"/>
          <w:kern w:val="48"/>
        </w:rPr>
        <w:t>,</w:t>
      </w:r>
      <w:r w:rsidR="000F7E62" w:rsidRPr="000F7E62">
        <w:rPr>
          <w:rFonts w:cs="Arial"/>
          <w:bCs/>
          <w:spacing w:val="-14"/>
          <w:w w:val="80"/>
          <w:kern w:val="48"/>
        </w:rPr>
        <w:t xml:space="preserve"> οι 9 συναλλαγές αφορούσαν στην πόλη και την επαρχία Λεμεσού, ενώ η </w:t>
      </w:r>
      <w:r w:rsidR="000F7E62" w:rsidRPr="000F7E62">
        <w:rPr>
          <w:rFonts w:cs="Arial"/>
          <w:bCs/>
          <w:iCs/>
          <w:spacing w:val="-14"/>
          <w:w w:val="80"/>
          <w:kern w:val="48"/>
        </w:rPr>
        <w:t>ακριβότερη πώληση, που σημειώθηκε</w:t>
      </w:r>
      <w:r w:rsidR="00671B5A">
        <w:rPr>
          <w:rFonts w:cs="Arial"/>
          <w:bCs/>
          <w:iCs/>
          <w:spacing w:val="-14"/>
          <w:w w:val="80"/>
          <w:kern w:val="48"/>
        </w:rPr>
        <w:t>,</w:t>
      </w:r>
      <w:r w:rsidR="000F7E62" w:rsidRPr="000F7E62">
        <w:rPr>
          <w:rFonts w:cs="Arial"/>
          <w:bCs/>
          <w:iCs/>
          <w:spacing w:val="-14"/>
          <w:w w:val="80"/>
          <w:kern w:val="48"/>
        </w:rPr>
        <w:t xml:space="preserve"> αφορούσε χωράφι στον Δήμο Λεμεσού, με τιμή 22,1 εκ. Ευρώ</w:t>
      </w:r>
      <w:r w:rsidR="000F7E62" w:rsidRPr="000F7E62">
        <w:rPr>
          <w:rFonts w:cs="Arial"/>
          <w:bCs/>
          <w:spacing w:val="-14"/>
          <w:w w:val="80"/>
          <w:kern w:val="48"/>
        </w:rPr>
        <w:t>, ενώ η άλλη επαρχία, που εκπροσωπείται στην πρώτη δεκάδα είναι η Αμμόχωστος, με μια συναλλαγή</w:t>
      </w:r>
      <w:r w:rsidR="00671B5A">
        <w:rPr>
          <w:rFonts w:cs="Arial"/>
          <w:bCs/>
          <w:spacing w:val="-14"/>
          <w:w w:val="80"/>
          <w:kern w:val="48"/>
        </w:rPr>
        <w:t>,</w:t>
      </w:r>
      <w:r w:rsidR="000F7E62" w:rsidRPr="000F7E62">
        <w:rPr>
          <w:rFonts w:cs="Arial"/>
          <w:bCs/>
          <w:spacing w:val="-14"/>
          <w:w w:val="80"/>
          <w:kern w:val="48"/>
        </w:rPr>
        <w:t xml:space="preserve"> αξίας 9,1 εκ. Ευρώ. Η δεκάδα των ακριβότερων ακινήτων της Λεμεσού πωλήθηκε έναντι 120,2 εκ. Ευρώ και της Αμμοχώστου 46,4 εκ. Ευρώ. Οι επαρχίες Λάρνακας και Πάφου ακολουθούν με τις 10 ακριβότερες πωλήσεις να ανέρχονται</w:t>
      </w:r>
      <w:r w:rsidR="00671B5A">
        <w:rPr>
          <w:rFonts w:cs="Arial"/>
          <w:bCs/>
          <w:spacing w:val="-14"/>
          <w:w w:val="80"/>
          <w:kern w:val="48"/>
        </w:rPr>
        <w:t>,</w:t>
      </w:r>
      <w:r w:rsidR="000F7E62" w:rsidRPr="000F7E62">
        <w:rPr>
          <w:rFonts w:cs="Arial"/>
          <w:bCs/>
          <w:spacing w:val="-14"/>
          <w:w w:val="80"/>
          <w:kern w:val="48"/>
        </w:rPr>
        <w:t xml:space="preserve"> για το 2023</w:t>
      </w:r>
      <w:r w:rsidR="00671B5A">
        <w:rPr>
          <w:rFonts w:cs="Arial"/>
          <w:bCs/>
          <w:spacing w:val="-14"/>
          <w:w w:val="80"/>
          <w:kern w:val="48"/>
        </w:rPr>
        <w:t>,</w:t>
      </w:r>
      <w:r w:rsidR="000F7E62" w:rsidRPr="000F7E62">
        <w:rPr>
          <w:rFonts w:cs="Arial"/>
          <w:bCs/>
          <w:spacing w:val="-14"/>
          <w:w w:val="80"/>
          <w:kern w:val="48"/>
        </w:rPr>
        <w:t xml:space="preserve"> σε 42,6 εκ. Ευρώ και 41,1 εκ. Ευρώ, αντίστοιχα. Μικρότερης αξίας (35,5 εκ. Ευρώ) είναι τα 10 πιο ακριβά ακίνητα, που πωλήθηκαν</w:t>
      </w:r>
      <w:r w:rsidR="00671B5A">
        <w:rPr>
          <w:rFonts w:cs="Arial"/>
          <w:bCs/>
          <w:spacing w:val="-14"/>
          <w:w w:val="80"/>
          <w:kern w:val="48"/>
        </w:rPr>
        <w:t>,</w:t>
      </w:r>
      <w:r w:rsidR="000F7E62" w:rsidRPr="000F7E62">
        <w:rPr>
          <w:rFonts w:cs="Arial"/>
          <w:bCs/>
          <w:spacing w:val="-14"/>
          <w:w w:val="80"/>
          <w:kern w:val="48"/>
        </w:rPr>
        <w:t xml:space="preserve"> τον περασμένο χρόνο</w:t>
      </w:r>
      <w:r w:rsidR="00671B5A">
        <w:rPr>
          <w:rFonts w:cs="Arial"/>
          <w:bCs/>
          <w:spacing w:val="-14"/>
          <w:w w:val="80"/>
          <w:kern w:val="48"/>
        </w:rPr>
        <w:t>,</w:t>
      </w:r>
      <w:r w:rsidR="000F7E62" w:rsidRPr="000F7E62">
        <w:rPr>
          <w:rFonts w:cs="Arial"/>
          <w:bCs/>
          <w:spacing w:val="-14"/>
          <w:w w:val="80"/>
          <w:kern w:val="48"/>
        </w:rPr>
        <w:t xml:space="preserve"> στην επαρχία Λευκωσίας.</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0F7E62">
        <w:rPr>
          <w:rFonts w:cs="Arial"/>
          <w:bCs/>
          <w:spacing w:val="-14"/>
          <w:w w:val="80"/>
          <w:kern w:val="48"/>
        </w:rPr>
        <w:t xml:space="preserve"> </w:t>
      </w:r>
      <w:r w:rsidR="00067BA9">
        <w:rPr>
          <w:rFonts w:cs="Arial"/>
          <w:bCs/>
          <w:spacing w:val="-14"/>
          <w:w w:val="80"/>
          <w:kern w:val="48"/>
        </w:rPr>
        <w:t>Τέλος, σημειώνεται</w:t>
      </w:r>
      <w:r w:rsidR="000F7E62" w:rsidRPr="000F7E62">
        <w:rPr>
          <w:rFonts w:cs="Arial"/>
          <w:bCs/>
          <w:spacing w:val="-14"/>
          <w:w w:val="80"/>
          <w:kern w:val="48"/>
        </w:rPr>
        <w:t xml:space="preserve"> ότι ενδεχόμενη σταθεροποίηση και μείωση των τιμών στην αγορά ακινήτων, σύμφωνα με ειδικούς του κτηματομεσιτικού τομέα, επηρεάζεται άμεσα από την κρίση στη Μ. Ανατολή και τα προβλήματα, που δημιουργούν οι συνθήκες αστάθειας στη ναυσιπλοΐα στην Ερυθρά Θάλασσα και το δεδομένο ότι δεν μπορεί να προβλεφθεί η διάρκειά της.</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p>
    <w:p w:rsidR="00A57508" w:rsidRDefault="00E04E65"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sidRPr="00B77D7A">
        <w:rPr>
          <w:rFonts w:cs="Arial"/>
          <w:b/>
          <w:bCs/>
          <w:color w:val="31849B"/>
          <w:spacing w:val="-14"/>
          <w:w w:val="80"/>
          <w:kern w:val="48"/>
        </w:rPr>
        <w:t xml:space="preserve">5.4 </w:t>
      </w:r>
      <w:r w:rsidR="002D2355" w:rsidRPr="00B77D7A">
        <w:rPr>
          <w:rFonts w:cs="Arial"/>
          <w:b/>
          <w:bCs/>
          <w:color w:val="31849B"/>
          <w:spacing w:val="-14"/>
          <w:w w:val="80"/>
          <w:kern w:val="48"/>
        </w:rPr>
        <w:t xml:space="preserve"> </w:t>
      </w:r>
      <w:r w:rsidRPr="00B77D7A">
        <w:rPr>
          <w:rFonts w:cs="Arial"/>
          <w:b/>
          <w:bCs/>
          <w:color w:val="31849B"/>
          <w:spacing w:val="-14"/>
          <w:w w:val="80"/>
          <w:kern w:val="48"/>
        </w:rPr>
        <w:t>Εξαγγελία μέτρων στήριξης ξένων επενδυτών στην Κύπρο</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5E095B">
        <w:rPr>
          <w:rFonts w:cs="Arial"/>
          <w:bCs/>
          <w:spacing w:val="-14"/>
          <w:w w:val="80"/>
          <w:kern w:val="48"/>
        </w:rPr>
        <w:t>Οι θετικές επιδόσεις της κ/οικονομίας, με ρυθμό ανάπτυξης,</w:t>
      </w:r>
      <w:r w:rsidR="00E04E65" w:rsidRPr="00E04E65">
        <w:rPr>
          <w:rFonts w:cs="Arial"/>
          <w:bCs/>
          <w:spacing w:val="-14"/>
          <w:w w:val="80"/>
          <w:kern w:val="48"/>
        </w:rPr>
        <w:t xml:space="preserve"> υψηλότερο από τον μέσο όρο της ΕΕ και της Ευρωζώνης (εκτίμηση ρυθμού ανάπτυξης το 2023 στο 2,2% και 2,6% το 2024) υποστηρίζονται από μεγάλες</w:t>
      </w:r>
      <w:r w:rsidR="00671B5A">
        <w:rPr>
          <w:rFonts w:cs="Arial"/>
          <w:bCs/>
          <w:spacing w:val="-14"/>
          <w:w w:val="80"/>
          <w:kern w:val="48"/>
        </w:rPr>
        <w:t>,</w:t>
      </w:r>
      <w:r w:rsidR="00E04E65" w:rsidRPr="00E04E65">
        <w:rPr>
          <w:rFonts w:cs="Arial"/>
          <w:bCs/>
          <w:spacing w:val="-14"/>
          <w:w w:val="80"/>
          <w:kern w:val="48"/>
        </w:rPr>
        <w:t xml:space="preserve"> υπό εξέλιξη ιδιωτικές επεν</w:t>
      </w:r>
      <w:r w:rsidR="00671B5A">
        <w:rPr>
          <w:rFonts w:cs="Arial"/>
          <w:bCs/>
          <w:spacing w:val="-14"/>
          <w:w w:val="80"/>
          <w:kern w:val="48"/>
        </w:rPr>
        <w:t xml:space="preserve">δύσεις, από το εξωτερικό, </w:t>
      </w:r>
      <w:r w:rsidR="00E04E65" w:rsidRPr="00E04E65">
        <w:rPr>
          <w:rFonts w:cs="Arial"/>
          <w:bCs/>
          <w:spacing w:val="-14"/>
          <w:w w:val="80"/>
          <w:kern w:val="48"/>
        </w:rPr>
        <w:t>με αιχμή τις επενδύσεις στον Τομέα Πληροφορικής και Επικοινωνιών. Σε απόλυτους αριθμούς</w:t>
      </w:r>
      <w:r w:rsidR="005E095B">
        <w:rPr>
          <w:rFonts w:cs="Arial"/>
          <w:bCs/>
          <w:spacing w:val="-14"/>
          <w:w w:val="80"/>
          <w:kern w:val="48"/>
        </w:rPr>
        <w:t>,</w:t>
      </w:r>
      <w:r w:rsidR="00E04E65" w:rsidRPr="00E04E65">
        <w:rPr>
          <w:rFonts w:cs="Arial"/>
          <w:bCs/>
          <w:spacing w:val="-14"/>
          <w:w w:val="80"/>
          <w:kern w:val="48"/>
        </w:rPr>
        <w:t xml:space="preserve"> η συνολική συνεισφορά (σε όρους </w:t>
      </w:r>
      <w:r w:rsidR="005E095B">
        <w:rPr>
          <w:rFonts w:cs="Arial"/>
          <w:bCs/>
          <w:spacing w:val="-14"/>
          <w:w w:val="80"/>
          <w:kern w:val="48"/>
        </w:rPr>
        <w:t>ακαθάριστης προστιθέμενης αξίας</w:t>
      </w:r>
      <w:r w:rsidR="00E04E65" w:rsidRPr="00E04E65">
        <w:rPr>
          <w:rFonts w:cs="Arial"/>
          <w:bCs/>
          <w:spacing w:val="-14"/>
          <w:w w:val="80"/>
          <w:kern w:val="48"/>
        </w:rPr>
        <w:t xml:space="preserve"> του τομέα</w:t>
      </w:r>
      <w:r w:rsidR="00671B5A">
        <w:rPr>
          <w:rFonts w:cs="Arial"/>
          <w:bCs/>
          <w:spacing w:val="-14"/>
          <w:w w:val="80"/>
          <w:kern w:val="48"/>
        </w:rPr>
        <w:t>)</w:t>
      </w:r>
      <w:r w:rsidR="005E095B">
        <w:rPr>
          <w:rFonts w:cs="Arial"/>
          <w:bCs/>
          <w:spacing w:val="-14"/>
          <w:w w:val="80"/>
          <w:kern w:val="48"/>
        </w:rPr>
        <w:t>,</w:t>
      </w:r>
      <w:r w:rsidR="00E04E65" w:rsidRPr="00E04E65">
        <w:rPr>
          <w:rFonts w:cs="Arial"/>
          <w:bCs/>
          <w:spacing w:val="-14"/>
          <w:w w:val="80"/>
          <w:kern w:val="48"/>
        </w:rPr>
        <w:t xml:space="preserve"> το 2022</w:t>
      </w:r>
      <w:r w:rsidR="005E095B">
        <w:rPr>
          <w:rFonts w:cs="Arial"/>
          <w:bCs/>
          <w:spacing w:val="-14"/>
          <w:w w:val="80"/>
          <w:kern w:val="48"/>
        </w:rPr>
        <w:t>,</w:t>
      </w:r>
      <w:r w:rsidR="00E04E65" w:rsidRPr="00E04E65">
        <w:rPr>
          <w:rFonts w:cs="Arial"/>
          <w:bCs/>
          <w:spacing w:val="-14"/>
          <w:w w:val="80"/>
          <w:kern w:val="48"/>
        </w:rPr>
        <w:t xml:space="preserve"> ανήλθε στα 2,33 δισ. Ευρώ, παρουσιάζοντας άνοδο</w:t>
      </w:r>
      <w:r w:rsidR="005E095B">
        <w:rPr>
          <w:rFonts w:cs="Arial"/>
          <w:bCs/>
          <w:spacing w:val="-14"/>
          <w:w w:val="80"/>
          <w:kern w:val="48"/>
        </w:rPr>
        <w:t>,</w:t>
      </w:r>
      <w:r w:rsidR="00E04E65" w:rsidRPr="00E04E65">
        <w:rPr>
          <w:rFonts w:cs="Arial"/>
          <w:bCs/>
          <w:spacing w:val="-14"/>
          <w:w w:val="80"/>
          <w:kern w:val="48"/>
        </w:rPr>
        <w:t xml:space="preserve"> 277%</w:t>
      </w:r>
      <w:r w:rsidR="00671B5A">
        <w:rPr>
          <w:rFonts w:cs="Arial"/>
          <w:bCs/>
          <w:spacing w:val="-14"/>
          <w:w w:val="80"/>
          <w:kern w:val="48"/>
        </w:rPr>
        <w:t>,</w:t>
      </w:r>
      <w:r w:rsidR="00E04E65" w:rsidRPr="00E04E65">
        <w:rPr>
          <w:rFonts w:cs="Arial"/>
          <w:bCs/>
          <w:spacing w:val="-14"/>
          <w:w w:val="80"/>
          <w:kern w:val="48"/>
        </w:rPr>
        <w:t xml:space="preserve"> σε μια δεκαετία. </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rFonts w:cs="Arial"/>
          <w:bCs/>
          <w:spacing w:val="-14"/>
          <w:w w:val="80"/>
          <w:kern w:val="48"/>
        </w:rPr>
      </w:pPr>
      <w:r>
        <w:rPr>
          <w:b/>
          <w:color w:val="0070C0"/>
          <w:spacing w:val="-14"/>
          <w:w w:val="80"/>
          <w:kern w:val="48"/>
        </w:rPr>
        <w:t xml:space="preserve">      </w:t>
      </w:r>
      <w:r w:rsidR="00E04E65" w:rsidRPr="00E04E65">
        <w:rPr>
          <w:rFonts w:cs="Arial"/>
          <w:bCs/>
          <w:spacing w:val="-14"/>
          <w:w w:val="80"/>
          <w:kern w:val="48"/>
        </w:rPr>
        <w:t>Οι ξένοι επενδυτές ελκύονται από το ευνοϊκό φορολογικό περιβάλλον και τις διευκολύνσεις στη μετεγκατάσταση τους (με σημαντική ροή νέων εταιρειών</w:t>
      </w:r>
      <w:r w:rsidR="00671B5A">
        <w:rPr>
          <w:rFonts w:cs="Arial"/>
          <w:bCs/>
          <w:spacing w:val="-14"/>
          <w:w w:val="80"/>
          <w:kern w:val="48"/>
        </w:rPr>
        <w:t>,</w:t>
      </w:r>
      <w:r w:rsidR="00E04E65" w:rsidRPr="00E04E65">
        <w:rPr>
          <w:rFonts w:cs="Arial"/>
          <w:bCs/>
          <w:spacing w:val="-14"/>
          <w:w w:val="80"/>
          <w:kern w:val="48"/>
        </w:rPr>
        <w:t xml:space="preserve"> μετά την εισβολή της Ρωσίας στην Ουκρανία), αντιμετωπίζουν</w:t>
      </w:r>
      <w:r w:rsidR="00671B5A">
        <w:rPr>
          <w:rFonts w:cs="Arial"/>
          <w:bCs/>
          <w:spacing w:val="-14"/>
          <w:w w:val="80"/>
          <w:kern w:val="48"/>
        </w:rPr>
        <w:t>,</w:t>
      </w:r>
      <w:r w:rsidR="00E04E65" w:rsidRPr="00E04E65">
        <w:rPr>
          <w:rFonts w:cs="Arial"/>
          <w:bCs/>
          <w:spacing w:val="-14"/>
          <w:w w:val="80"/>
          <w:kern w:val="48"/>
        </w:rPr>
        <w:t xml:space="preserve"> </w:t>
      </w:r>
      <w:r w:rsidR="00671B5A">
        <w:rPr>
          <w:rFonts w:cs="Arial"/>
          <w:bCs/>
          <w:spacing w:val="-14"/>
          <w:w w:val="80"/>
          <w:kern w:val="48"/>
        </w:rPr>
        <w:t>όμως,</w:t>
      </w:r>
      <w:r w:rsidR="00E04E65" w:rsidRPr="00E04E65">
        <w:rPr>
          <w:rFonts w:cs="Arial"/>
          <w:bCs/>
          <w:spacing w:val="-14"/>
          <w:w w:val="80"/>
          <w:kern w:val="48"/>
        </w:rPr>
        <w:t xml:space="preserve"> σειρά θεμάτων,  που αφορούν στην καθημερινότητα των εργαζομένων τους (στέγη, σχολεία) αλλά  και των ίδιων των επιχειρήσεων (π.χ. διακίνηση του προσωπικού από τρίτες χώρες</w:t>
      </w:r>
      <w:r w:rsidR="00671B5A">
        <w:rPr>
          <w:rFonts w:cs="Arial"/>
          <w:bCs/>
          <w:spacing w:val="-14"/>
          <w:w w:val="80"/>
          <w:kern w:val="48"/>
        </w:rPr>
        <w:t>,</w:t>
      </w:r>
      <w:r w:rsidR="00E04E65" w:rsidRPr="00E04E65">
        <w:rPr>
          <w:rFonts w:cs="Arial"/>
          <w:bCs/>
          <w:spacing w:val="-14"/>
          <w:w w:val="80"/>
          <w:kern w:val="48"/>
        </w:rPr>
        <w:t xml:space="preserve"> εντός της ΕΕ). Τα προβλήματα αυτά ετέθησαν</w:t>
      </w:r>
      <w:r w:rsidR="00671B5A">
        <w:rPr>
          <w:rFonts w:cs="Arial"/>
          <w:bCs/>
          <w:spacing w:val="-14"/>
          <w:w w:val="80"/>
          <w:kern w:val="48"/>
        </w:rPr>
        <w:t>,</w:t>
      </w:r>
      <w:r w:rsidR="00E04E65" w:rsidRPr="00E04E65">
        <w:rPr>
          <w:rFonts w:cs="Arial"/>
          <w:bCs/>
          <w:spacing w:val="-14"/>
          <w:w w:val="80"/>
          <w:kern w:val="48"/>
        </w:rPr>
        <w:t xml:space="preserve"> το καλοκαίρι</w:t>
      </w:r>
      <w:r w:rsidR="00671B5A">
        <w:rPr>
          <w:rFonts w:cs="Arial"/>
          <w:bCs/>
          <w:spacing w:val="-14"/>
          <w:w w:val="80"/>
          <w:kern w:val="48"/>
        </w:rPr>
        <w:t>,</w:t>
      </w:r>
      <w:r w:rsidR="00E04E65" w:rsidRPr="00E04E65">
        <w:rPr>
          <w:rFonts w:cs="Arial"/>
          <w:bCs/>
          <w:spacing w:val="-14"/>
          <w:w w:val="80"/>
          <w:kern w:val="48"/>
        </w:rPr>
        <w:t xml:space="preserve"> σε συνάντηση που είχε ο Πρόεδρος της Δημοκρατίας</w:t>
      </w:r>
      <w:r w:rsidR="005E095B">
        <w:rPr>
          <w:rFonts w:cs="Arial"/>
          <w:bCs/>
          <w:spacing w:val="-14"/>
          <w:w w:val="80"/>
          <w:kern w:val="48"/>
        </w:rPr>
        <w:t xml:space="preserve"> </w:t>
      </w:r>
      <w:r w:rsidR="00E04E65" w:rsidRPr="00E04E65">
        <w:rPr>
          <w:rFonts w:cs="Arial"/>
          <w:bCs/>
          <w:spacing w:val="-14"/>
          <w:w w:val="80"/>
          <w:kern w:val="48"/>
        </w:rPr>
        <w:t xml:space="preserve"> με μικρή ομάδα επενδυτών. </w:t>
      </w:r>
      <w:r w:rsidR="005E095B">
        <w:rPr>
          <w:rFonts w:cs="Arial"/>
          <w:bCs/>
          <w:spacing w:val="-14"/>
          <w:w w:val="80"/>
          <w:kern w:val="48"/>
        </w:rPr>
        <w:t xml:space="preserve"> </w:t>
      </w:r>
      <w:r w:rsidR="00E04E65" w:rsidRPr="00E04E65">
        <w:rPr>
          <w:rFonts w:cs="Arial"/>
          <w:bCs/>
          <w:spacing w:val="-14"/>
          <w:w w:val="80"/>
          <w:kern w:val="48"/>
        </w:rPr>
        <w:t>Οι λύσεις που δόθηκαν παρουσιάστηκαν</w:t>
      </w:r>
      <w:r w:rsidR="00671B5A">
        <w:rPr>
          <w:rFonts w:cs="Arial"/>
          <w:bCs/>
          <w:spacing w:val="-14"/>
          <w:w w:val="80"/>
          <w:kern w:val="48"/>
        </w:rPr>
        <w:t>,</w:t>
      </w:r>
      <w:r w:rsidR="00E04E65" w:rsidRPr="00E04E65">
        <w:rPr>
          <w:rFonts w:cs="Arial"/>
          <w:bCs/>
          <w:spacing w:val="-14"/>
          <w:w w:val="80"/>
          <w:kern w:val="48"/>
        </w:rPr>
        <w:t xml:space="preserve"> στις 8.2. </w:t>
      </w:r>
      <w:proofErr w:type="spellStart"/>
      <w:r w:rsidR="00E04E65" w:rsidRPr="00E04E65">
        <w:rPr>
          <w:rFonts w:cs="Arial"/>
          <w:bCs/>
          <w:spacing w:val="-14"/>
          <w:w w:val="80"/>
          <w:kern w:val="48"/>
        </w:rPr>
        <w:t>τ.έ</w:t>
      </w:r>
      <w:proofErr w:type="spellEnd"/>
      <w:r w:rsidR="00E04E65" w:rsidRPr="00E04E65">
        <w:rPr>
          <w:rFonts w:cs="Arial"/>
          <w:bCs/>
          <w:spacing w:val="-14"/>
          <w:w w:val="80"/>
          <w:kern w:val="48"/>
        </w:rPr>
        <w:t>.</w:t>
      </w:r>
      <w:r w:rsidR="00671B5A">
        <w:rPr>
          <w:rFonts w:cs="Arial"/>
          <w:bCs/>
          <w:spacing w:val="-14"/>
          <w:w w:val="80"/>
          <w:kern w:val="48"/>
        </w:rPr>
        <w:t>,</w:t>
      </w:r>
      <w:r w:rsidR="00E04E65" w:rsidRPr="00E04E65">
        <w:rPr>
          <w:rFonts w:cs="Arial"/>
          <w:bCs/>
          <w:spacing w:val="-14"/>
          <w:w w:val="80"/>
          <w:kern w:val="48"/>
        </w:rPr>
        <w:t xml:space="preserve"> σε ειδική εκδήλωση της Προεδρίας της Δημοκρατίας</w:t>
      </w:r>
      <w:r w:rsidR="00671B5A">
        <w:rPr>
          <w:rFonts w:cs="Arial"/>
          <w:bCs/>
          <w:spacing w:val="-14"/>
          <w:w w:val="80"/>
          <w:kern w:val="48"/>
        </w:rPr>
        <w:t>,</w:t>
      </w:r>
      <w:r w:rsidR="00E04E65" w:rsidRPr="00E04E65">
        <w:rPr>
          <w:rFonts w:cs="Arial"/>
          <w:bCs/>
          <w:spacing w:val="-14"/>
          <w:w w:val="80"/>
          <w:kern w:val="48"/>
        </w:rPr>
        <w:t xml:space="preserve"> σε συνεργασία με τον Κυπριακό Οργανισμό Προώθησης Επενδύσεων, παρουσία  των Υπουργών Οικονομικών, Εσωτερικών, Ενέργειας, Εμπορίου και Βιομηχανίας, Εργασίας και Κοινωνικών Ασφαλίσεων και Παιδείας.</w:t>
      </w:r>
      <w:r>
        <w:rPr>
          <w:rFonts w:cs="Arial"/>
          <w:bCs/>
          <w:spacing w:val="-14"/>
          <w:w w:val="80"/>
          <w:kern w:val="48"/>
        </w:rPr>
        <w:t>.</w:t>
      </w:r>
    </w:p>
    <w:p w:rsid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rFonts w:cs="Arial"/>
          <w:bCs/>
          <w:spacing w:val="-14"/>
          <w:w w:val="80"/>
          <w:kern w:val="48"/>
        </w:rPr>
        <w:t xml:space="preserve">      </w:t>
      </w:r>
      <w:r w:rsidR="00E04E65" w:rsidRPr="00E04E65">
        <w:rPr>
          <w:rFonts w:cs="Arial"/>
          <w:bCs/>
          <w:spacing w:val="-14"/>
          <w:w w:val="80"/>
          <w:kern w:val="48"/>
        </w:rPr>
        <w:t>Στην εκδήλωση</w:t>
      </w:r>
      <w:r w:rsidR="00671B5A">
        <w:rPr>
          <w:rFonts w:cs="Arial"/>
          <w:bCs/>
          <w:spacing w:val="-14"/>
          <w:w w:val="80"/>
          <w:kern w:val="48"/>
        </w:rPr>
        <w:t>,</w:t>
      </w:r>
      <w:r w:rsidR="00E04E65" w:rsidRPr="00E04E65">
        <w:rPr>
          <w:rFonts w:cs="Arial"/>
          <w:bCs/>
          <w:spacing w:val="-14"/>
          <w:w w:val="80"/>
          <w:kern w:val="48"/>
        </w:rPr>
        <w:t xml:space="preserve"> ο κ. Ν. Χριστοδουλίδη εγγυήθηκε τη συνεχή βελτίωση του επιχειρηματικού περιβάλλοντος και τη διατήρηση της οικονομίας</w:t>
      </w:r>
      <w:r w:rsidR="005E095B">
        <w:rPr>
          <w:rFonts w:cs="Arial"/>
          <w:bCs/>
          <w:spacing w:val="-14"/>
          <w:w w:val="80"/>
          <w:kern w:val="48"/>
        </w:rPr>
        <w:t xml:space="preserve">, </w:t>
      </w:r>
      <w:r w:rsidR="00E04E65" w:rsidRPr="00E04E65">
        <w:rPr>
          <w:rFonts w:cs="Arial"/>
          <w:bCs/>
          <w:spacing w:val="-14"/>
          <w:w w:val="80"/>
          <w:kern w:val="48"/>
        </w:rPr>
        <w:t>σε θετική τροχιά και υπογράμμισε ότι η βελτίωση του επιχειρηματικού περιβάλλοντος έχει θετική επίδραση και στις εγχώριες επιχειρήσεις.</w:t>
      </w:r>
    </w:p>
    <w:p w:rsidR="00E04E65" w:rsidRPr="00A57508" w:rsidRDefault="00A57508" w:rsidP="00A57508">
      <w:pPr>
        <w:widowControl w:val="0"/>
        <w:tabs>
          <w:tab w:val="left" w:pos="284"/>
        </w:tabs>
        <w:autoSpaceDE w:val="0"/>
        <w:autoSpaceDN w:val="0"/>
        <w:adjustRightInd w:val="0"/>
        <w:spacing w:after="0" w:line="220" w:lineRule="exact"/>
        <w:ind w:left="142" w:right="57"/>
        <w:jc w:val="both"/>
        <w:outlineLvl w:val="0"/>
        <w:rPr>
          <w:b/>
          <w:color w:val="0070C0"/>
          <w:spacing w:val="-14"/>
          <w:w w:val="80"/>
          <w:kern w:val="48"/>
        </w:rPr>
      </w:pPr>
      <w:r>
        <w:rPr>
          <w:b/>
          <w:color w:val="0070C0"/>
          <w:spacing w:val="-14"/>
          <w:w w:val="80"/>
          <w:kern w:val="48"/>
        </w:rPr>
        <w:t xml:space="preserve">      </w:t>
      </w:r>
      <w:r w:rsidR="00E04E65">
        <w:rPr>
          <w:rFonts w:cs="Arial"/>
          <w:bCs/>
          <w:spacing w:val="-14"/>
          <w:w w:val="80"/>
          <w:kern w:val="48"/>
        </w:rPr>
        <w:t xml:space="preserve"> </w:t>
      </w:r>
      <w:r w:rsidR="00671B5A">
        <w:rPr>
          <w:rFonts w:cs="Arial"/>
          <w:bCs/>
          <w:spacing w:val="-14"/>
          <w:w w:val="80"/>
          <w:kern w:val="48"/>
        </w:rPr>
        <w:t>Οι δράσεις της κ/</w:t>
      </w:r>
      <w:r w:rsidR="00E04E65" w:rsidRPr="00E04E65">
        <w:rPr>
          <w:rFonts w:cs="Arial"/>
          <w:bCs/>
          <w:spacing w:val="-14"/>
          <w:w w:val="80"/>
          <w:kern w:val="48"/>
        </w:rPr>
        <w:t xml:space="preserve">κυβέρνησης, που ανακοινώθηκαν προς διευκόλυνση των ξένων επενδυτών είναι οι εξής : </w:t>
      </w:r>
    </w:p>
    <w:p w:rsidR="00E04E65" w:rsidRDefault="00E04E65" w:rsidP="00E04E65">
      <w:pPr>
        <w:widowControl w:val="0"/>
        <w:numPr>
          <w:ilvl w:val="0"/>
          <w:numId w:val="61"/>
        </w:numPr>
        <w:autoSpaceDE w:val="0"/>
        <w:autoSpaceDN w:val="0"/>
        <w:adjustRightInd w:val="0"/>
        <w:spacing w:after="0" w:line="220" w:lineRule="exact"/>
        <w:ind w:left="142" w:hanging="153"/>
        <w:jc w:val="both"/>
        <w:outlineLvl w:val="0"/>
        <w:rPr>
          <w:rFonts w:cs="Arial"/>
          <w:bCs/>
          <w:spacing w:val="-14"/>
          <w:w w:val="80"/>
          <w:kern w:val="48"/>
        </w:rPr>
      </w:pPr>
      <w:r w:rsidRPr="00E04E65">
        <w:rPr>
          <w:rFonts w:cs="Arial"/>
          <w:bCs/>
          <w:spacing w:val="-14"/>
          <w:w w:val="80"/>
          <w:kern w:val="48"/>
        </w:rPr>
        <w:t xml:space="preserve">Υιοθέτηση της Μπλε Κάρτας (EU </w:t>
      </w:r>
      <w:proofErr w:type="spellStart"/>
      <w:r w:rsidRPr="00E04E65">
        <w:rPr>
          <w:rFonts w:cs="Arial"/>
          <w:bCs/>
          <w:spacing w:val="-14"/>
          <w:w w:val="80"/>
          <w:kern w:val="48"/>
        </w:rPr>
        <w:t>Blue</w:t>
      </w:r>
      <w:proofErr w:type="spellEnd"/>
      <w:r w:rsidRPr="00E04E65">
        <w:rPr>
          <w:rFonts w:cs="Arial"/>
          <w:bCs/>
          <w:spacing w:val="-14"/>
          <w:w w:val="80"/>
          <w:kern w:val="48"/>
        </w:rPr>
        <w:t xml:space="preserve"> </w:t>
      </w:r>
      <w:proofErr w:type="spellStart"/>
      <w:r w:rsidRPr="00E04E65">
        <w:rPr>
          <w:rFonts w:cs="Arial"/>
          <w:bCs/>
          <w:spacing w:val="-14"/>
          <w:w w:val="80"/>
          <w:kern w:val="48"/>
        </w:rPr>
        <w:t>Card</w:t>
      </w:r>
      <w:proofErr w:type="spellEnd"/>
      <w:r w:rsidRPr="00E04E65">
        <w:rPr>
          <w:rFonts w:cs="Arial"/>
          <w:bCs/>
          <w:spacing w:val="-14"/>
          <w:w w:val="80"/>
          <w:kern w:val="48"/>
        </w:rPr>
        <w:t>) για την είσοδο και διαμονή υπηκόων τρίτων χωρών, με σκοπό την απασχόληση υψηλή</w:t>
      </w:r>
      <w:r w:rsidR="00287545">
        <w:rPr>
          <w:rFonts w:cs="Arial"/>
          <w:bCs/>
          <w:spacing w:val="-14"/>
          <w:w w:val="80"/>
          <w:kern w:val="48"/>
        </w:rPr>
        <w:t>ς ειδίκευσης. Με την Μπλε Κάρτα</w:t>
      </w:r>
      <w:r w:rsidRPr="00E04E65">
        <w:rPr>
          <w:rFonts w:cs="Arial"/>
          <w:bCs/>
          <w:spacing w:val="-14"/>
          <w:w w:val="80"/>
          <w:kern w:val="48"/>
        </w:rPr>
        <w:t xml:space="preserve"> διευκολύνεται η διακίνηση</w:t>
      </w:r>
      <w:r w:rsidR="00287545">
        <w:rPr>
          <w:rFonts w:cs="Arial"/>
          <w:bCs/>
          <w:spacing w:val="-14"/>
          <w:w w:val="80"/>
          <w:kern w:val="48"/>
        </w:rPr>
        <w:t>,</w:t>
      </w:r>
      <w:r w:rsidRPr="00E04E65">
        <w:rPr>
          <w:rFonts w:cs="Arial"/>
          <w:bCs/>
          <w:spacing w:val="-14"/>
          <w:w w:val="80"/>
          <w:kern w:val="48"/>
        </w:rPr>
        <w:t xml:space="preserve"> εντός της Ε.Ε. </w:t>
      </w:r>
    </w:p>
    <w:p w:rsidR="007D607B" w:rsidRDefault="00E04E65" w:rsidP="00E04E65">
      <w:pPr>
        <w:widowControl w:val="0"/>
        <w:numPr>
          <w:ilvl w:val="0"/>
          <w:numId w:val="61"/>
        </w:numPr>
        <w:autoSpaceDE w:val="0"/>
        <w:autoSpaceDN w:val="0"/>
        <w:adjustRightInd w:val="0"/>
        <w:spacing w:after="0" w:line="220" w:lineRule="exact"/>
        <w:ind w:left="142" w:hanging="153"/>
        <w:jc w:val="both"/>
        <w:outlineLvl w:val="0"/>
        <w:rPr>
          <w:rFonts w:cs="Arial"/>
          <w:bCs/>
          <w:spacing w:val="-14"/>
          <w:w w:val="80"/>
          <w:kern w:val="48"/>
        </w:rPr>
      </w:pPr>
      <w:r w:rsidRPr="00E04E65">
        <w:rPr>
          <w:rFonts w:cs="Arial"/>
          <w:bCs/>
          <w:spacing w:val="-14"/>
          <w:w w:val="80"/>
          <w:kern w:val="48"/>
        </w:rPr>
        <w:t xml:space="preserve">Οι εταιρείες δεν θα διαγράφονται από το Μητρώο της Μονάδας Διευκόλυνσης Εταιρειών ακόμη και αν έχουν σταματήσει να πληρούν ορισμένα από τα κριτήρια </w:t>
      </w:r>
      <w:proofErr w:type="spellStart"/>
      <w:r w:rsidRPr="00E04E65">
        <w:rPr>
          <w:rFonts w:cs="Arial"/>
          <w:bCs/>
          <w:spacing w:val="-14"/>
          <w:w w:val="80"/>
          <w:kern w:val="48"/>
        </w:rPr>
        <w:t>επιλεξιμότητας</w:t>
      </w:r>
      <w:proofErr w:type="spellEnd"/>
      <w:r w:rsidRPr="00E04E65">
        <w:rPr>
          <w:rFonts w:cs="Arial"/>
          <w:bCs/>
          <w:spacing w:val="-14"/>
          <w:w w:val="80"/>
          <w:kern w:val="48"/>
        </w:rPr>
        <w:t>. Περισσότερες από 1.984 εταιρείες έχουν εγγραφεί στη Μονάδα Διευκόλυνσης Εταιρειών, οι οποίες απασχολούν 19.000 ειδικευμένους εργαζομένους</w:t>
      </w:r>
    </w:p>
    <w:p w:rsidR="00E04E65" w:rsidRDefault="00E04E65" w:rsidP="007D607B">
      <w:pPr>
        <w:widowControl w:val="0"/>
        <w:autoSpaceDE w:val="0"/>
        <w:autoSpaceDN w:val="0"/>
        <w:adjustRightInd w:val="0"/>
        <w:spacing w:after="0" w:line="220" w:lineRule="exact"/>
        <w:ind w:left="142"/>
        <w:jc w:val="both"/>
        <w:outlineLvl w:val="0"/>
        <w:rPr>
          <w:rFonts w:cs="Arial"/>
          <w:bCs/>
          <w:spacing w:val="-14"/>
          <w:w w:val="80"/>
          <w:kern w:val="48"/>
        </w:rPr>
      </w:pPr>
      <w:r w:rsidRPr="00E04E65">
        <w:rPr>
          <w:rFonts w:cs="Arial"/>
          <w:bCs/>
          <w:spacing w:val="-14"/>
          <w:w w:val="80"/>
          <w:kern w:val="48"/>
        </w:rPr>
        <w:t>και έχουν</w:t>
      </w:r>
      <w:r w:rsidR="00287545">
        <w:rPr>
          <w:rFonts w:cs="Arial"/>
          <w:bCs/>
          <w:spacing w:val="-14"/>
          <w:w w:val="80"/>
          <w:kern w:val="48"/>
        </w:rPr>
        <w:t>,</w:t>
      </w:r>
      <w:r w:rsidRPr="00E04E65">
        <w:rPr>
          <w:rFonts w:cs="Arial"/>
          <w:bCs/>
          <w:spacing w:val="-14"/>
          <w:w w:val="80"/>
          <w:kern w:val="48"/>
        </w:rPr>
        <w:t xml:space="preserve"> ήδη</w:t>
      </w:r>
      <w:r w:rsidR="00287545">
        <w:rPr>
          <w:rFonts w:cs="Arial"/>
          <w:bCs/>
          <w:spacing w:val="-14"/>
          <w:w w:val="80"/>
          <w:kern w:val="48"/>
        </w:rPr>
        <w:t>,</w:t>
      </w:r>
      <w:r w:rsidRPr="00E04E65">
        <w:rPr>
          <w:rFonts w:cs="Arial"/>
          <w:bCs/>
          <w:spacing w:val="-14"/>
          <w:w w:val="80"/>
          <w:kern w:val="48"/>
        </w:rPr>
        <w:t xml:space="preserve"> δοθεί 500 θεωρήσεις για ψηφιακούς νομάδες. </w:t>
      </w:r>
    </w:p>
    <w:p w:rsidR="00E04E65" w:rsidRDefault="00E04E65" w:rsidP="00E04E65">
      <w:pPr>
        <w:widowControl w:val="0"/>
        <w:numPr>
          <w:ilvl w:val="0"/>
          <w:numId w:val="61"/>
        </w:numPr>
        <w:autoSpaceDE w:val="0"/>
        <w:autoSpaceDN w:val="0"/>
        <w:adjustRightInd w:val="0"/>
        <w:spacing w:after="0" w:line="220" w:lineRule="exact"/>
        <w:ind w:left="142" w:hanging="153"/>
        <w:jc w:val="both"/>
        <w:outlineLvl w:val="0"/>
        <w:rPr>
          <w:rFonts w:cs="Arial"/>
          <w:bCs/>
          <w:spacing w:val="-14"/>
          <w:w w:val="80"/>
          <w:kern w:val="48"/>
        </w:rPr>
      </w:pPr>
      <w:r w:rsidRPr="00E04E65">
        <w:rPr>
          <w:rFonts w:cs="Arial"/>
          <w:bCs/>
          <w:spacing w:val="-14"/>
          <w:w w:val="80"/>
          <w:kern w:val="48"/>
        </w:rPr>
        <w:t>Έκδοση βίζας εισόδου</w:t>
      </w:r>
      <w:r w:rsidR="00287545">
        <w:rPr>
          <w:rFonts w:cs="Arial"/>
          <w:bCs/>
          <w:spacing w:val="-14"/>
          <w:w w:val="80"/>
          <w:kern w:val="48"/>
        </w:rPr>
        <w:t>,</w:t>
      </w:r>
      <w:r w:rsidRPr="00E04E65">
        <w:rPr>
          <w:rFonts w:cs="Arial"/>
          <w:bCs/>
          <w:spacing w:val="-14"/>
          <w:w w:val="80"/>
          <w:kern w:val="48"/>
        </w:rPr>
        <w:t xml:space="preserve"> τύπου C</w:t>
      </w:r>
      <w:r w:rsidR="007D607B">
        <w:rPr>
          <w:rFonts w:cs="Arial"/>
          <w:bCs/>
          <w:spacing w:val="-14"/>
          <w:w w:val="80"/>
          <w:kern w:val="48"/>
        </w:rPr>
        <w:t>,</w:t>
      </w:r>
      <w:r w:rsidRPr="00E04E65">
        <w:rPr>
          <w:rFonts w:cs="Arial"/>
          <w:bCs/>
          <w:spacing w:val="-14"/>
          <w:w w:val="80"/>
          <w:kern w:val="48"/>
        </w:rPr>
        <w:t xml:space="preserve"> με την ένδειξη </w:t>
      </w:r>
      <w:proofErr w:type="spellStart"/>
      <w:r w:rsidRPr="00E04E65">
        <w:rPr>
          <w:rFonts w:cs="Arial"/>
          <w:bCs/>
          <w:spacing w:val="-14"/>
          <w:w w:val="80"/>
          <w:kern w:val="48"/>
        </w:rPr>
        <w:t>business</w:t>
      </w:r>
      <w:proofErr w:type="spellEnd"/>
      <w:r w:rsidRPr="00E04E65">
        <w:rPr>
          <w:rFonts w:cs="Arial"/>
          <w:bCs/>
          <w:spacing w:val="-14"/>
          <w:w w:val="80"/>
          <w:kern w:val="48"/>
        </w:rPr>
        <w:t xml:space="preserve">, η οποία επιτρέπει στους ξένους επισκέπτες να εισέρχονται στην Κυπριακή Δημοκρατία για σκοπούς άσκησης επιχειρηματικών δραστηριοτήτων, χωρίς να έχουν δικαίωμα εργασίας. </w:t>
      </w:r>
    </w:p>
    <w:p w:rsidR="00E04E65" w:rsidRDefault="00E04E65" w:rsidP="00E04E65">
      <w:pPr>
        <w:widowControl w:val="0"/>
        <w:numPr>
          <w:ilvl w:val="0"/>
          <w:numId w:val="61"/>
        </w:numPr>
        <w:autoSpaceDE w:val="0"/>
        <w:autoSpaceDN w:val="0"/>
        <w:adjustRightInd w:val="0"/>
        <w:spacing w:after="0" w:line="220" w:lineRule="exact"/>
        <w:ind w:left="142" w:hanging="153"/>
        <w:jc w:val="both"/>
        <w:outlineLvl w:val="0"/>
        <w:rPr>
          <w:rFonts w:cs="Arial"/>
          <w:bCs/>
          <w:spacing w:val="-14"/>
          <w:w w:val="80"/>
          <w:kern w:val="48"/>
        </w:rPr>
      </w:pPr>
      <w:r w:rsidRPr="00E04E65">
        <w:rPr>
          <w:rFonts w:cs="Arial"/>
          <w:bCs/>
          <w:spacing w:val="-14"/>
          <w:w w:val="80"/>
          <w:kern w:val="48"/>
        </w:rPr>
        <w:t xml:space="preserve">Διευκόλυνση της διαδικασίας </w:t>
      </w:r>
      <w:proofErr w:type="spellStart"/>
      <w:r w:rsidRPr="00E04E65">
        <w:rPr>
          <w:rFonts w:cs="Arial"/>
          <w:bCs/>
          <w:spacing w:val="-14"/>
          <w:w w:val="80"/>
          <w:kern w:val="48"/>
        </w:rPr>
        <w:t>αδειοδότησης</w:t>
      </w:r>
      <w:proofErr w:type="spellEnd"/>
      <w:r w:rsidRPr="00E04E65">
        <w:rPr>
          <w:rFonts w:cs="Arial"/>
          <w:bCs/>
          <w:spacing w:val="-14"/>
          <w:w w:val="80"/>
          <w:kern w:val="48"/>
        </w:rPr>
        <w:t xml:space="preserve"> για τη δημιουργία ιδιωτικών σχολείων για την κάλυψη των αναγκών των παιδιών αλλοδαπών εργαζομένων στην Κύπρο. Αναμένεται τροποποίηση του υφιστάμενου ρυθμιστικού πλαισίου, ώστε να μπορέσει κρατική γη να αξιοποιηθεί για την ίδρυση εκπαιδευτικών ιδρυμάτων. Εκτιμάται ότι με την υφιστάμενη ροή θα απαιτηθούν</w:t>
      </w:r>
      <w:r w:rsidR="007D607B">
        <w:rPr>
          <w:rFonts w:cs="Arial"/>
          <w:bCs/>
          <w:spacing w:val="-14"/>
          <w:w w:val="80"/>
          <w:kern w:val="48"/>
        </w:rPr>
        <w:t>.</w:t>
      </w:r>
      <w:r w:rsidRPr="00E04E65">
        <w:rPr>
          <w:rFonts w:cs="Arial"/>
          <w:bCs/>
          <w:spacing w:val="-14"/>
          <w:w w:val="80"/>
          <w:kern w:val="48"/>
        </w:rPr>
        <w:t xml:space="preserve"> περίπου 10.000 με 20.000 νέες θέσεις</w:t>
      </w:r>
      <w:r w:rsidR="007D607B">
        <w:rPr>
          <w:rFonts w:cs="Arial"/>
          <w:bCs/>
          <w:spacing w:val="-14"/>
          <w:w w:val="80"/>
          <w:kern w:val="48"/>
        </w:rPr>
        <w:t>.</w:t>
      </w:r>
      <w:r w:rsidRPr="00E04E65">
        <w:rPr>
          <w:rFonts w:cs="Arial"/>
          <w:bCs/>
          <w:spacing w:val="-14"/>
          <w:w w:val="80"/>
          <w:kern w:val="48"/>
        </w:rPr>
        <w:t xml:space="preserve"> στα σχολεία την επόμενη πενταετία.</w:t>
      </w:r>
    </w:p>
    <w:p w:rsidR="00E04E65" w:rsidRDefault="00E04E65" w:rsidP="00E04E65">
      <w:pPr>
        <w:widowControl w:val="0"/>
        <w:numPr>
          <w:ilvl w:val="0"/>
          <w:numId w:val="61"/>
        </w:numPr>
        <w:autoSpaceDE w:val="0"/>
        <w:autoSpaceDN w:val="0"/>
        <w:adjustRightInd w:val="0"/>
        <w:spacing w:after="0" w:line="220" w:lineRule="exact"/>
        <w:ind w:left="142" w:hanging="153"/>
        <w:jc w:val="both"/>
        <w:outlineLvl w:val="0"/>
        <w:rPr>
          <w:rFonts w:cs="Arial"/>
          <w:bCs/>
          <w:spacing w:val="-14"/>
          <w:w w:val="80"/>
          <w:kern w:val="48"/>
        </w:rPr>
      </w:pPr>
      <w:r w:rsidRPr="00E04E65">
        <w:rPr>
          <w:rFonts w:cs="Arial"/>
          <w:bCs/>
          <w:spacing w:val="-14"/>
          <w:w w:val="80"/>
          <w:kern w:val="48"/>
        </w:rPr>
        <w:t xml:space="preserve">Εφαρμογή του “περί Διευκόλυνσης των Στρατηγικών Αναπτυξιακών Έργων Νόμου του 2023” </w:t>
      </w:r>
    </w:p>
    <w:p w:rsidR="00E04E65" w:rsidRDefault="00E04E65" w:rsidP="00E04E65">
      <w:pPr>
        <w:widowControl w:val="0"/>
        <w:numPr>
          <w:ilvl w:val="0"/>
          <w:numId w:val="61"/>
        </w:numPr>
        <w:autoSpaceDE w:val="0"/>
        <w:autoSpaceDN w:val="0"/>
        <w:adjustRightInd w:val="0"/>
        <w:spacing w:after="0" w:line="220" w:lineRule="exact"/>
        <w:ind w:left="142" w:hanging="153"/>
        <w:jc w:val="both"/>
        <w:outlineLvl w:val="0"/>
        <w:rPr>
          <w:rFonts w:cs="Arial"/>
          <w:bCs/>
          <w:spacing w:val="-14"/>
          <w:w w:val="80"/>
          <w:kern w:val="48"/>
        </w:rPr>
      </w:pPr>
      <w:r w:rsidRPr="00E04E65">
        <w:rPr>
          <w:rFonts w:cs="Arial"/>
          <w:bCs/>
          <w:spacing w:val="-14"/>
          <w:w w:val="80"/>
          <w:kern w:val="48"/>
        </w:rPr>
        <w:t>Έναρξη του προγράμματος “</w:t>
      </w:r>
      <w:proofErr w:type="spellStart"/>
      <w:r w:rsidRPr="00E04E65">
        <w:rPr>
          <w:rFonts w:cs="Arial"/>
          <w:bCs/>
          <w:spacing w:val="-14"/>
          <w:w w:val="80"/>
          <w:kern w:val="48"/>
        </w:rPr>
        <w:t>build</w:t>
      </w:r>
      <w:proofErr w:type="spellEnd"/>
      <w:r w:rsidRPr="00E04E65">
        <w:rPr>
          <w:rFonts w:cs="Arial"/>
          <w:bCs/>
          <w:spacing w:val="-14"/>
          <w:w w:val="80"/>
          <w:kern w:val="48"/>
        </w:rPr>
        <w:t>-</w:t>
      </w:r>
      <w:proofErr w:type="spellStart"/>
      <w:r w:rsidRPr="00E04E65">
        <w:rPr>
          <w:rFonts w:cs="Arial"/>
          <w:bCs/>
          <w:spacing w:val="-14"/>
          <w:w w:val="80"/>
          <w:kern w:val="48"/>
        </w:rPr>
        <w:t>torent</w:t>
      </w:r>
      <w:proofErr w:type="spellEnd"/>
      <w:r w:rsidRPr="00E04E65">
        <w:rPr>
          <w:rFonts w:cs="Arial"/>
          <w:bCs/>
          <w:spacing w:val="-14"/>
          <w:w w:val="80"/>
          <w:kern w:val="48"/>
        </w:rPr>
        <w:t>”, το οποίο προσφέρει αύξηση 45% της οικοδομήσιμης επιφάνειας με αντάλλαγμα την παροχή αριθμών μονάδων προς ενοικίαση σε προσιτές τιμές σε καθορισμένη περίοδο, που είναι περίπου έξι έτη. Το πρόγραμμα αυτό προσφέρει οικονομικά οφέλη και κίνητρα, της φορολογικής απαλλαγής 100% για τα ενοίκια, που εισπράττονται για προσιτές μονάδες</w:t>
      </w:r>
      <w:r w:rsidR="00412B57" w:rsidRPr="00412B57">
        <w:rPr>
          <w:rFonts w:cs="Arial"/>
          <w:bCs/>
          <w:spacing w:val="-14"/>
          <w:w w:val="80"/>
          <w:kern w:val="48"/>
        </w:rPr>
        <w:t xml:space="preserve"> </w:t>
      </w:r>
      <w:r w:rsidR="00412B57" w:rsidRPr="00E04E65">
        <w:rPr>
          <w:rFonts w:cs="Arial"/>
          <w:bCs/>
          <w:spacing w:val="-14"/>
          <w:w w:val="80"/>
          <w:kern w:val="48"/>
        </w:rPr>
        <w:t>συμπεριλαμβανομένης</w:t>
      </w:r>
      <w:r w:rsidRPr="00E04E65">
        <w:rPr>
          <w:rFonts w:cs="Arial"/>
          <w:bCs/>
          <w:spacing w:val="-14"/>
          <w:w w:val="80"/>
          <w:kern w:val="48"/>
        </w:rPr>
        <w:t xml:space="preserve">, 3% απαλλαγή από την έκτακτη αμυντική εισφορά, αύξηση στο 5% της έκπτωσης κεφαλαιουχικών δαπανών και αύξηση στο 15% της έκπτωσης </w:t>
      </w:r>
      <w:r w:rsidRPr="00E04E65">
        <w:rPr>
          <w:rFonts w:cs="Arial"/>
          <w:bCs/>
          <w:spacing w:val="-14"/>
          <w:w w:val="80"/>
          <w:kern w:val="48"/>
        </w:rPr>
        <w:lastRenderedPageBreak/>
        <w:t>για τον εξοπλισμό.</w:t>
      </w:r>
    </w:p>
    <w:p w:rsidR="00E04E65" w:rsidRDefault="00E04E65" w:rsidP="00E04E65">
      <w:pPr>
        <w:widowControl w:val="0"/>
        <w:numPr>
          <w:ilvl w:val="0"/>
          <w:numId w:val="61"/>
        </w:numPr>
        <w:autoSpaceDE w:val="0"/>
        <w:autoSpaceDN w:val="0"/>
        <w:adjustRightInd w:val="0"/>
        <w:spacing w:after="0" w:line="220" w:lineRule="exact"/>
        <w:ind w:left="142" w:hanging="153"/>
        <w:jc w:val="both"/>
        <w:outlineLvl w:val="0"/>
        <w:rPr>
          <w:rFonts w:cs="Arial"/>
          <w:bCs/>
          <w:spacing w:val="-14"/>
          <w:w w:val="80"/>
          <w:kern w:val="48"/>
        </w:rPr>
      </w:pPr>
      <w:r w:rsidRPr="00E04E65">
        <w:rPr>
          <w:rFonts w:cs="Arial"/>
          <w:bCs/>
          <w:spacing w:val="-14"/>
          <w:w w:val="80"/>
          <w:kern w:val="48"/>
        </w:rPr>
        <w:t>Ψηφιοποίηση των διαδικασιών που σχετίζονται με την εγγραφή εταιρειών και την απόκτηση των απαιτούμενων αδειών για έργα Ανανεώσιμων Πηγών Ενέργειας.</w:t>
      </w:r>
    </w:p>
    <w:p w:rsidR="00A57508" w:rsidRDefault="00E04E65" w:rsidP="000F7E62">
      <w:pPr>
        <w:widowControl w:val="0"/>
        <w:numPr>
          <w:ilvl w:val="0"/>
          <w:numId w:val="61"/>
        </w:numPr>
        <w:autoSpaceDE w:val="0"/>
        <w:autoSpaceDN w:val="0"/>
        <w:adjustRightInd w:val="0"/>
        <w:spacing w:after="0" w:line="220" w:lineRule="exact"/>
        <w:ind w:left="142" w:hanging="153"/>
        <w:jc w:val="both"/>
        <w:outlineLvl w:val="0"/>
        <w:rPr>
          <w:rFonts w:cs="Arial"/>
          <w:bCs/>
          <w:spacing w:val="-14"/>
          <w:w w:val="80"/>
          <w:kern w:val="48"/>
        </w:rPr>
      </w:pPr>
      <w:r w:rsidRPr="00E04E65">
        <w:rPr>
          <w:rFonts w:cs="Arial"/>
          <w:bCs/>
          <w:spacing w:val="-14"/>
          <w:w w:val="80"/>
          <w:kern w:val="48"/>
        </w:rPr>
        <w:t>Τροποποίηση του Κανονισμού για την ηλικία εγγραφής των παιδιών στα σχολεία για διασφάλιση της ομαλής συνέχισης της εκπαίδευσης τους στην Κύπρο.</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r>
        <w:rPr>
          <w:rFonts w:cs="Arial"/>
          <w:bCs/>
          <w:spacing w:val="-14"/>
          <w:w w:val="80"/>
          <w:kern w:val="48"/>
        </w:rPr>
        <w:t xml:space="preserve">      </w:t>
      </w:r>
      <w:r w:rsidR="00E04E65" w:rsidRPr="00A57508">
        <w:rPr>
          <w:rFonts w:cs="Arial"/>
          <w:bCs/>
          <w:spacing w:val="-14"/>
          <w:w w:val="80"/>
          <w:kern w:val="48"/>
        </w:rPr>
        <w:t>Τέλος, σημειώνουμε ότι, σχεδόν 2.000 ξένες εταιρείες έχουν αξιοποιήσει τη δυνατότητα εγκατάστασης στην Κύπρο, μέσω της Μονάδας Διευκόλυνσης Εταιρειών με την πλειονότητα (1.640 το 2022) να προέρχεται από τον Λίβανο, το Ισραήλ, τις ΗΠΑ, το Ηνωμένο Βασίλειο, την Ουκρανία και τη Ρωσία.</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p>
    <w:p w:rsidR="00A57508" w:rsidRDefault="002D2355" w:rsidP="00A57508">
      <w:pPr>
        <w:widowControl w:val="0"/>
        <w:autoSpaceDE w:val="0"/>
        <w:autoSpaceDN w:val="0"/>
        <w:adjustRightInd w:val="0"/>
        <w:spacing w:after="0" w:line="220" w:lineRule="exact"/>
        <w:ind w:left="142"/>
        <w:jc w:val="both"/>
        <w:outlineLvl w:val="0"/>
        <w:rPr>
          <w:rFonts w:cs="Arial"/>
          <w:bCs/>
          <w:spacing w:val="-14"/>
          <w:w w:val="80"/>
          <w:kern w:val="48"/>
        </w:rPr>
      </w:pPr>
      <w:r w:rsidRPr="00B77D7A">
        <w:rPr>
          <w:rFonts w:cs="Arial"/>
          <w:b/>
          <w:bCs/>
          <w:color w:val="31849B"/>
          <w:spacing w:val="-14"/>
          <w:w w:val="80"/>
          <w:kern w:val="48"/>
        </w:rPr>
        <w:t xml:space="preserve">5.5 Νέο κατάστημα </w:t>
      </w:r>
      <w:r w:rsidRPr="00B77D7A">
        <w:rPr>
          <w:rFonts w:cs="Arial"/>
          <w:b/>
          <w:bCs/>
          <w:color w:val="31849B"/>
          <w:spacing w:val="-14"/>
          <w:w w:val="80"/>
          <w:kern w:val="48"/>
          <w:lang w:val="en-US"/>
        </w:rPr>
        <w:t>Jumbo</w:t>
      </w:r>
      <w:r w:rsidRPr="00B77D7A">
        <w:rPr>
          <w:rFonts w:cs="Arial"/>
          <w:b/>
          <w:bCs/>
          <w:color w:val="31849B"/>
          <w:spacing w:val="-14"/>
          <w:w w:val="80"/>
          <w:kern w:val="48"/>
        </w:rPr>
        <w:t xml:space="preserve"> στην Κύπρο</w:t>
      </w:r>
    </w:p>
    <w:p w:rsidR="00A57508" w:rsidRDefault="00A57508" w:rsidP="00A57508">
      <w:pPr>
        <w:widowControl w:val="0"/>
        <w:autoSpaceDE w:val="0"/>
        <w:autoSpaceDN w:val="0"/>
        <w:adjustRightInd w:val="0"/>
        <w:spacing w:after="0" w:line="220" w:lineRule="exact"/>
        <w:ind w:left="142"/>
        <w:jc w:val="both"/>
        <w:outlineLvl w:val="0"/>
        <w:rPr>
          <w:rFonts w:cs="Arial"/>
          <w:spacing w:val="-14"/>
          <w:w w:val="80"/>
          <w:kern w:val="48"/>
        </w:rPr>
      </w:pPr>
      <w:r>
        <w:rPr>
          <w:rFonts w:cs="Arial"/>
          <w:bCs/>
          <w:spacing w:val="-14"/>
          <w:w w:val="80"/>
          <w:kern w:val="48"/>
        </w:rPr>
        <w:t xml:space="preserve">      </w:t>
      </w:r>
      <w:r w:rsidR="009C657F">
        <w:rPr>
          <w:rFonts w:cs="Arial"/>
          <w:spacing w:val="-14"/>
          <w:w w:val="80"/>
          <w:kern w:val="48"/>
        </w:rPr>
        <w:t xml:space="preserve"> </w:t>
      </w:r>
      <w:r w:rsidR="009C657F" w:rsidRPr="009C657F">
        <w:rPr>
          <w:rFonts w:cs="Arial"/>
          <w:spacing w:val="-14"/>
          <w:w w:val="80"/>
          <w:kern w:val="48"/>
        </w:rPr>
        <w:t xml:space="preserve">Η διοίκηση του Ομίλου </w:t>
      </w:r>
      <w:proofErr w:type="spellStart"/>
      <w:r w:rsidR="009C657F" w:rsidRPr="009C657F">
        <w:rPr>
          <w:rFonts w:cs="Arial"/>
          <w:spacing w:val="-14"/>
          <w:w w:val="80"/>
          <w:kern w:val="48"/>
        </w:rPr>
        <w:t>Jumbo</w:t>
      </w:r>
      <w:proofErr w:type="spellEnd"/>
      <w:r w:rsidR="008069D2">
        <w:rPr>
          <w:rFonts w:cs="Arial"/>
          <w:spacing w:val="-14"/>
          <w:w w:val="80"/>
          <w:kern w:val="48"/>
        </w:rPr>
        <w:t>,</w:t>
      </w:r>
      <w:r w:rsidR="009C657F" w:rsidRPr="009C657F">
        <w:rPr>
          <w:rFonts w:cs="Arial"/>
          <w:spacing w:val="-14"/>
          <w:w w:val="80"/>
          <w:kern w:val="48"/>
        </w:rPr>
        <w:t xml:space="preserve"> στην πρόσφατη Γενική Συνέλευση της εισηγμένης στο Χρηματιστήριο Αθηνών εταιρείας</w:t>
      </w:r>
      <w:r w:rsidR="008069D2">
        <w:rPr>
          <w:rFonts w:cs="Arial"/>
          <w:spacing w:val="-14"/>
          <w:w w:val="80"/>
          <w:kern w:val="48"/>
        </w:rPr>
        <w:t>,</w:t>
      </w:r>
      <w:r w:rsidR="009C657F" w:rsidRPr="009C657F">
        <w:rPr>
          <w:rFonts w:cs="Arial"/>
          <w:spacing w:val="-14"/>
          <w:w w:val="80"/>
          <w:kern w:val="48"/>
        </w:rPr>
        <w:t xml:space="preserve"> επιβεβαίωσε τον σχεδιασμό για ένα </w:t>
      </w:r>
      <w:proofErr w:type="spellStart"/>
      <w:r w:rsidR="009C657F" w:rsidRPr="009C657F">
        <w:rPr>
          <w:rFonts w:cs="Arial"/>
          <w:spacing w:val="-14"/>
          <w:w w:val="80"/>
          <w:kern w:val="48"/>
        </w:rPr>
        <w:t>υπερ</w:t>
      </w:r>
      <w:proofErr w:type="spellEnd"/>
      <w:r w:rsidR="009C657F" w:rsidRPr="009C657F">
        <w:rPr>
          <w:rFonts w:cs="Arial"/>
          <w:spacing w:val="-14"/>
          <w:w w:val="80"/>
          <w:kern w:val="48"/>
        </w:rPr>
        <w:t>-κατάστημα στην Κύπρο (Λευκωσία). Στην Κύπρο</w:t>
      </w:r>
      <w:r w:rsidR="00287545">
        <w:rPr>
          <w:rFonts w:cs="Arial"/>
          <w:spacing w:val="-14"/>
          <w:w w:val="80"/>
          <w:kern w:val="48"/>
        </w:rPr>
        <w:t>,</w:t>
      </w:r>
      <w:r w:rsidR="009C657F" w:rsidRPr="009C657F">
        <w:rPr>
          <w:rFonts w:cs="Arial"/>
          <w:spacing w:val="-14"/>
          <w:w w:val="80"/>
          <w:kern w:val="48"/>
        </w:rPr>
        <w:t xml:space="preserve"> οι πωλήσεις των καταστημάτων </w:t>
      </w:r>
      <w:r w:rsidR="008069D2">
        <w:rPr>
          <w:rFonts w:cs="Arial"/>
          <w:spacing w:val="-14"/>
          <w:w w:val="80"/>
          <w:kern w:val="48"/>
        </w:rPr>
        <w:t>της,</w:t>
      </w:r>
      <w:r w:rsidR="009C657F" w:rsidRPr="009C657F">
        <w:rPr>
          <w:rFonts w:cs="Arial"/>
          <w:spacing w:val="-14"/>
          <w:w w:val="80"/>
          <w:kern w:val="48"/>
        </w:rPr>
        <w:t xml:space="preserve"> κατά τον Ιανουάριο του 2024</w:t>
      </w:r>
      <w:r w:rsidR="008069D2">
        <w:rPr>
          <w:rFonts w:cs="Arial"/>
          <w:spacing w:val="-14"/>
          <w:w w:val="80"/>
          <w:kern w:val="48"/>
        </w:rPr>
        <w:t>,</w:t>
      </w:r>
      <w:r w:rsidR="009C657F" w:rsidRPr="009C657F">
        <w:rPr>
          <w:rFonts w:cs="Arial"/>
          <w:spacing w:val="-14"/>
          <w:w w:val="80"/>
          <w:kern w:val="48"/>
        </w:rPr>
        <w:t xml:space="preserve"> ήταν</w:t>
      </w:r>
      <w:r w:rsidR="008069D2">
        <w:rPr>
          <w:rFonts w:cs="Arial"/>
          <w:spacing w:val="-14"/>
          <w:w w:val="80"/>
          <w:kern w:val="48"/>
        </w:rPr>
        <w:t>,</w:t>
      </w:r>
      <w:r w:rsidR="009C657F" w:rsidRPr="009C657F">
        <w:rPr>
          <w:rFonts w:cs="Arial"/>
          <w:spacing w:val="-14"/>
          <w:w w:val="80"/>
          <w:kern w:val="48"/>
        </w:rPr>
        <w:t xml:space="preserve"> περίπου στα ίδια επίπεδα</w:t>
      </w:r>
      <w:r w:rsidR="008069D2">
        <w:rPr>
          <w:rFonts w:cs="Arial"/>
          <w:spacing w:val="-14"/>
          <w:w w:val="80"/>
          <w:kern w:val="48"/>
        </w:rPr>
        <w:t>,</w:t>
      </w:r>
      <w:r w:rsidR="009C657F" w:rsidRPr="009C657F">
        <w:rPr>
          <w:rFonts w:cs="Arial"/>
          <w:spacing w:val="-14"/>
          <w:w w:val="80"/>
          <w:kern w:val="48"/>
        </w:rPr>
        <w:t xml:space="preserve"> με τον αντίστοιχο μήνα του 2023. Η διοίκηση εκφράζει την εκτίμηση ότι οι πωλήσεις</w:t>
      </w:r>
      <w:r w:rsidR="00287545">
        <w:rPr>
          <w:rFonts w:cs="Arial"/>
          <w:spacing w:val="-14"/>
          <w:w w:val="80"/>
          <w:kern w:val="48"/>
        </w:rPr>
        <w:t>,</w:t>
      </w:r>
      <w:r w:rsidR="009C657F" w:rsidRPr="009C657F">
        <w:rPr>
          <w:rFonts w:cs="Arial"/>
          <w:spacing w:val="-14"/>
          <w:w w:val="80"/>
          <w:kern w:val="48"/>
        </w:rPr>
        <w:t xml:space="preserve"> το 2024</w:t>
      </w:r>
      <w:r w:rsidR="00287545">
        <w:rPr>
          <w:rFonts w:cs="Arial"/>
          <w:spacing w:val="-14"/>
          <w:w w:val="80"/>
          <w:kern w:val="48"/>
        </w:rPr>
        <w:t>,</w:t>
      </w:r>
      <w:r w:rsidR="009C657F" w:rsidRPr="009C657F">
        <w:rPr>
          <w:rFonts w:cs="Arial"/>
          <w:spacing w:val="-14"/>
          <w:w w:val="80"/>
          <w:kern w:val="48"/>
        </w:rPr>
        <w:t xml:space="preserve"> θα συνεχίσουν την αυξητική πορεία των περασμένων ετών και θα βελτιωθούν</w:t>
      </w:r>
      <w:r w:rsidR="00287545">
        <w:rPr>
          <w:rFonts w:cs="Arial"/>
          <w:spacing w:val="-14"/>
          <w:w w:val="80"/>
          <w:kern w:val="48"/>
        </w:rPr>
        <w:t>,</w:t>
      </w:r>
      <w:r w:rsidR="009C657F" w:rsidRPr="009C657F">
        <w:rPr>
          <w:rFonts w:cs="Arial"/>
          <w:spacing w:val="-14"/>
          <w:w w:val="80"/>
          <w:kern w:val="48"/>
        </w:rPr>
        <w:t xml:space="preserve"> κατά 8%-10%, με αντ</w:t>
      </w:r>
      <w:r>
        <w:rPr>
          <w:rFonts w:cs="Arial"/>
          <w:spacing w:val="-14"/>
          <w:w w:val="80"/>
          <w:kern w:val="48"/>
        </w:rPr>
        <w:t>ίστοιχη αύξηση της κερδοφορίας.</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r>
        <w:rPr>
          <w:rFonts w:cs="Arial"/>
          <w:spacing w:val="-14"/>
          <w:w w:val="80"/>
          <w:kern w:val="48"/>
        </w:rPr>
        <w:t xml:space="preserve">      </w:t>
      </w:r>
      <w:r w:rsidR="009C657F">
        <w:rPr>
          <w:rFonts w:cs="Arial"/>
          <w:spacing w:val="-14"/>
          <w:w w:val="80"/>
          <w:kern w:val="48"/>
        </w:rPr>
        <w:t xml:space="preserve">  </w:t>
      </w:r>
      <w:r w:rsidR="009C657F" w:rsidRPr="009C657F">
        <w:rPr>
          <w:rFonts w:cs="Arial"/>
          <w:spacing w:val="-14"/>
          <w:w w:val="80"/>
          <w:kern w:val="48"/>
        </w:rPr>
        <w:t xml:space="preserve">Η εκτίμηση αυτή βασίζεται στις συνθήκες που επικρατούν σήμερα στις χώρες, </w:t>
      </w:r>
      <w:r w:rsidR="008069D2">
        <w:rPr>
          <w:rFonts w:cs="Arial"/>
          <w:spacing w:val="-14"/>
          <w:w w:val="80"/>
          <w:kern w:val="48"/>
        </w:rPr>
        <w:t>σ</w:t>
      </w:r>
      <w:r w:rsidR="009C657F" w:rsidRPr="009C657F">
        <w:rPr>
          <w:rFonts w:cs="Arial"/>
          <w:spacing w:val="-14"/>
          <w:w w:val="80"/>
          <w:kern w:val="48"/>
        </w:rPr>
        <w:t>τις οποίες δραστηριοποιείται ο όμιλος, τον προγραμματισμό για τη λειτουργία νέων καταστημάτων και την πρόβλεψη ότι οι εμπορικές διελεύσεις</w:t>
      </w:r>
      <w:r w:rsidR="00287545">
        <w:rPr>
          <w:rFonts w:cs="Arial"/>
          <w:spacing w:val="-14"/>
          <w:w w:val="80"/>
          <w:kern w:val="48"/>
        </w:rPr>
        <w:t>,</w:t>
      </w:r>
      <w:r w:rsidR="009C657F" w:rsidRPr="009C657F">
        <w:rPr>
          <w:rFonts w:cs="Arial"/>
          <w:spacing w:val="-14"/>
          <w:w w:val="80"/>
          <w:kern w:val="48"/>
        </w:rPr>
        <w:t xml:space="preserve"> μέσω της  Ερυθράς Θάλασσας θα εξομαλυνθούν</w:t>
      </w:r>
      <w:r w:rsidR="008069D2">
        <w:rPr>
          <w:rFonts w:cs="Arial"/>
          <w:spacing w:val="-14"/>
          <w:w w:val="80"/>
          <w:kern w:val="48"/>
        </w:rPr>
        <w:t>,</w:t>
      </w:r>
      <w:r w:rsidR="009C657F" w:rsidRPr="009C657F">
        <w:rPr>
          <w:rFonts w:cs="Arial"/>
          <w:spacing w:val="-14"/>
          <w:w w:val="80"/>
          <w:kern w:val="48"/>
        </w:rPr>
        <w:t xml:space="preserve"> μέσα στο πρώτο εξάμηνο του </w:t>
      </w:r>
      <w:proofErr w:type="spellStart"/>
      <w:r w:rsidR="009C657F" w:rsidRPr="009C657F">
        <w:rPr>
          <w:rFonts w:cs="Arial"/>
          <w:spacing w:val="-14"/>
          <w:w w:val="80"/>
          <w:kern w:val="48"/>
        </w:rPr>
        <w:t>τ.έ</w:t>
      </w:r>
      <w:proofErr w:type="spellEnd"/>
      <w:r w:rsidR="009C657F" w:rsidRPr="009C657F">
        <w:rPr>
          <w:rFonts w:cs="Arial"/>
          <w:spacing w:val="-14"/>
          <w:w w:val="80"/>
          <w:kern w:val="48"/>
        </w:rPr>
        <w:t>.</w:t>
      </w:r>
      <w:r w:rsidR="008069D2">
        <w:rPr>
          <w:rFonts w:cs="Arial"/>
          <w:spacing w:val="-14"/>
          <w:w w:val="80"/>
          <w:kern w:val="48"/>
        </w:rPr>
        <w:t>.</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r>
        <w:rPr>
          <w:rFonts w:cs="Arial"/>
          <w:bCs/>
          <w:spacing w:val="-14"/>
          <w:w w:val="80"/>
          <w:kern w:val="48"/>
        </w:rPr>
        <w:t xml:space="preserve">      </w:t>
      </w:r>
      <w:r w:rsidR="009C657F" w:rsidRPr="009C657F">
        <w:rPr>
          <w:rFonts w:cs="Arial"/>
          <w:spacing w:val="-14"/>
          <w:w w:val="80"/>
          <w:kern w:val="48"/>
        </w:rPr>
        <w:t>Εστιάζοντας στις κεντρικές δεσμεύσεις</w:t>
      </w:r>
      <w:r w:rsidR="00287545">
        <w:rPr>
          <w:rFonts w:cs="Arial"/>
          <w:spacing w:val="-14"/>
          <w:w w:val="80"/>
          <w:kern w:val="48"/>
        </w:rPr>
        <w:t>,</w:t>
      </w:r>
      <w:r w:rsidR="009C657F" w:rsidRPr="009C657F">
        <w:rPr>
          <w:rFonts w:cs="Arial"/>
          <w:spacing w:val="-14"/>
          <w:w w:val="80"/>
          <w:kern w:val="48"/>
        </w:rPr>
        <w:t xml:space="preserve"> για το 2024</w:t>
      </w:r>
      <w:r w:rsidR="008069D2">
        <w:rPr>
          <w:rFonts w:cs="Arial"/>
          <w:spacing w:val="-14"/>
          <w:w w:val="80"/>
          <w:kern w:val="48"/>
        </w:rPr>
        <w:t>,</w:t>
      </w:r>
      <w:r w:rsidR="009C657F" w:rsidRPr="009C657F">
        <w:rPr>
          <w:rFonts w:cs="Arial"/>
          <w:spacing w:val="-14"/>
          <w:w w:val="80"/>
          <w:kern w:val="48"/>
        </w:rPr>
        <w:t xml:space="preserve"> η διοίκηση του Ομίλου επισημαίνει ότι σε αυτές περιλαμβάνεται η διατήρηση των τιμών των προϊόντων σε επίπεδα συμβατά με την εξέλιξη των εισοδημάτων των καταναλωτών καθώς και η συνεχής επιβράβευση των μετόχων-συνεταίρων για την επενδυτική τους εμπιστοσύνη. Οι πωλήσεις του Ομίλου </w:t>
      </w:r>
      <w:proofErr w:type="spellStart"/>
      <w:r w:rsidR="009C657F" w:rsidRPr="009C657F">
        <w:rPr>
          <w:rFonts w:cs="Arial"/>
          <w:spacing w:val="-14"/>
          <w:w w:val="80"/>
          <w:kern w:val="48"/>
        </w:rPr>
        <w:t>Jumbo</w:t>
      </w:r>
      <w:proofErr w:type="spellEnd"/>
      <w:r w:rsidR="008069D2">
        <w:rPr>
          <w:rFonts w:cs="Arial"/>
          <w:spacing w:val="-14"/>
          <w:w w:val="80"/>
          <w:kern w:val="48"/>
        </w:rPr>
        <w:t>,</w:t>
      </w:r>
      <w:r w:rsidR="009C657F" w:rsidRPr="009C657F">
        <w:rPr>
          <w:rFonts w:cs="Arial"/>
          <w:spacing w:val="-14"/>
          <w:w w:val="80"/>
          <w:kern w:val="48"/>
        </w:rPr>
        <w:t xml:space="preserve"> κατά τη διάρκεια του 2023</w:t>
      </w:r>
      <w:r w:rsidR="008069D2">
        <w:rPr>
          <w:rFonts w:cs="Arial"/>
          <w:spacing w:val="-14"/>
          <w:w w:val="80"/>
          <w:kern w:val="48"/>
        </w:rPr>
        <w:t xml:space="preserve">, αυξήθηκαν, </w:t>
      </w:r>
      <w:r w:rsidR="009C657F" w:rsidRPr="009C657F">
        <w:rPr>
          <w:rFonts w:cs="Arial"/>
          <w:spacing w:val="-14"/>
          <w:w w:val="80"/>
          <w:kern w:val="48"/>
        </w:rPr>
        <w:t>περίπου 14%</w:t>
      </w:r>
      <w:r w:rsidR="00287545">
        <w:rPr>
          <w:rFonts w:cs="Arial"/>
          <w:spacing w:val="-14"/>
          <w:w w:val="80"/>
          <w:kern w:val="48"/>
        </w:rPr>
        <w:t>,</w:t>
      </w:r>
      <w:r w:rsidR="009C657F" w:rsidRPr="009C657F">
        <w:rPr>
          <w:rFonts w:cs="Arial"/>
          <w:spacing w:val="-14"/>
          <w:w w:val="80"/>
          <w:kern w:val="48"/>
        </w:rPr>
        <w:t xml:space="preserve"> σε σχέση με το 2022, ξεπερνώντας το 1 δισ. Ευρώ (1,081 εκ. Ευρώ). Τον Ιανουάριο του 2024, οι πωλήσεις του ομίλου αυξήθηκαν</w:t>
      </w:r>
      <w:r w:rsidR="008069D2">
        <w:rPr>
          <w:rFonts w:cs="Arial"/>
          <w:spacing w:val="-14"/>
          <w:w w:val="80"/>
          <w:kern w:val="48"/>
        </w:rPr>
        <w:t>,</w:t>
      </w:r>
      <w:r w:rsidR="009C657F" w:rsidRPr="009C657F">
        <w:rPr>
          <w:rFonts w:cs="Arial"/>
          <w:spacing w:val="-14"/>
          <w:w w:val="80"/>
          <w:kern w:val="48"/>
        </w:rPr>
        <w:t xml:space="preserve"> κατά περίπου 4%</w:t>
      </w:r>
      <w:r w:rsidR="008069D2">
        <w:rPr>
          <w:rFonts w:cs="Arial"/>
          <w:spacing w:val="-14"/>
          <w:w w:val="80"/>
          <w:kern w:val="48"/>
        </w:rPr>
        <w:t>,</w:t>
      </w:r>
      <w:r w:rsidR="009C657F" w:rsidRPr="009C657F">
        <w:rPr>
          <w:rFonts w:cs="Arial"/>
          <w:spacing w:val="-14"/>
          <w:w w:val="80"/>
          <w:kern w:val="48"/>
        </w:rPr>
        <w:t xml:space="preserve"> σε σχέση με τον Ιανουάριο του 2023.</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p>
    <w:p w:rsidR="00A57508" w:rsidRDefault="009A42D3" w:rsidP="00A57508">
      <w:pPr>
        <w:widowControl w:val="0"/>
        <w:autoSpaceDE w:val="0"/>
        <w:autoSpaceDN w:val="0"/>
        <w:adjustRightInd w:val="0"/>
        <w:spacing w:after="0" w:line="220" w:lineRule="exact"/>
        <w:ind w:left="142"/>
        <w:jc w:val="both"/>
        <w:outlineLvl w:val="0"/>
        <w:rPr>
          <w:rFonts w:cs="Arial"/>
          <w:bCs/>
          <w:spacing w:val="-14"/>
          <w:w w:val="80"/>
          <w:kern w:val="48"/>
        </w:rPr>
      </w:pPr>
      <w:r w:rsidRPr="00B77D7A">
        <w:rPr>
          <w:rFonts w:cs="Arial"/>
          <w:b/>
          <w:color w:val="31849B"/>
          <w:spacing w:val="-14"/>
          <w:w w:val="80"/>
          <w:kern w:val="48"/>
        </w:rPr>
        <w:t>5.6  Σχέδιο Κυκλικής Οικονομίας στις Μικρομεσαίες Επιχειρήσεις στην Κύπρο.</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r>
        <w:rPr>
          <w:rFonts w:cs="Arial"/>
          <w:bCs/>
          <w:spacing w:val="-14"/>
          <w:w w:val="80"/>
          <w:kern w:val="48"/>
        </w:rPr>
        <w:t xml:space="preserve">      </w:t>
      </w:r>
      <w:r w:rsidR="009A42D3">
        <w:rPr>
          <w:rFonts w:cs="Arial"/>
          <w:spacing w:val="-14"/>
          <w:w w:val="80"/>
          <w:kern w:val="48"/>
        </w:rPr>
        <w:t xml:space="preserve"> </w:t>
      </w:r>
      <w:r w:rsidR="009A42D3" w:rsidRPr="009A42D3">
        <w:rPr>
          <w:rFonts w:cs="Arial"/>
          <w:spacing w:val="-14"/>
          <w:w w:val="80"/>
          <w:kern w:val="48"/>
        </w:rPr>
        <w:t>Το Υπ</w:t>
      </w:r>
      <w:r w:rsidR="008069D2">
        <w:rPr>
          <w:rFonts w:cs="Arial"/>
          <w:spacing w:val="-14"/>
          <w:w w:val="80"/>
          <w:kern w:val="48"/>
        </w:rPr>
        <w:t>ουργικό Συμβούλιο ενέκρινε</w:t>
      </w:r>
      <w:r w:rsidR="00287545">
        <w:rPr>
          <w:rFonts w:cs="Arial"/>
          <w:spacing w:val="-14"/>
          <w:w w:val="80"/>
          <w:kern w:val="48"/>
        </w:rPr>
        <w:t>,</w:t>
      </w:r>
      <w:r w:rsidR="008069D2">
        <w:rPr>
          <w:rFonts w:cs="Arial"/>
          <w:spacing w:val="-14"/>
          <w:w w:val="80"/>
          <w:kern w:val="48"/>
        </w:rPr>
        <w:t xml:space="preserve"> 3.4. </w:t>
      </w:r>
      <w:proofErr w:type="spellStart"/>
      <w:r w:rsidR="009A42D3" w:rsidRPr="009A42D3">
        <w:rPr>
          <w:rFonts w:cs="Arial"/>
          <w:spacing w:val="-14"/>
          <w:w w:val="80"/>
          <w:kern w:val="48"/>
        </w:rPr>
        <w:t>τ.έ</w:t>
      </w:r>
      <w:proofErr w:type="spellEnd"/>
      <w:r w:rsidR="009A42D3" w:rsidRPr="009A42D3">
        <w:rPr>
          <w:rFonts w:cs="Arial"/>
          <w:spacing w:val="-14"/>
          <w:w w:val="80"/>
          <w:kern w:val="48"/>
        </w:rPr>
        <w:t>., κατόπιν πρότασης του Υπουργού Ενέργειας, Εμπορίου και Βιομηχανίας</w:t>
      </w:r>
      <w:r w:rsidR="008069D2">
        <w:rPr>
          <w:rFonts w:cs="Arial"/>
          <w:spacing w:val="-14"/>
          <w:w w:val="80"/>
          <w:kern w:val="48"/>
        </w:rPr>
        <w:t>,</w:t>
      </w:r>
      <w:r w:rsidR="009A42D3" w:rsidRPr="009A42D3">
        <w:rPr>
          <w:rFonts w:cs="Arial"/>
          <w:spacing w:val="-14"/>
          <w:w w:val="80"/>
          <w:kern w:val="48"/>
        </w:rPr>
        <w:t xml:space="preserve"> κ. Γ. Παπαναστασίου</w:t>
      </w:r>
      <w:r w:rsidR="008069D2">
        <w:rPr>
          <w:rFonts w:cs="Arial"/>
          <w:spacing w:val="-14"/>
          <w:w w:val="80"/>
          <w:kern w:val="48"/>
        </w:rPr>
        <w:t>,</w:t>
      </w:r>
      <w:r w:rsidR="009A42D3" w:rsidRPr="009A42D3">
        <w:rPr>
          <w:rFonts w:cs="Arial"/>
          <w:spacing w:val="-14"/>
          <w:w w:val="80"/>
          <w:kern w:val="48"/>
        </w:rPr>
        <w:t xml:space="preserve"> το «Σχέδιο Χορηγιών για την Κυκλική Οικονομία στις Μικρομεσαίες Επιχειρήσεις (</w:t>
      </w:r>
      <w:proofErr w:type="spellStart"/>
      <w:r w:rsidR="009A42D3" w:rsidRPr="009A42D3">
        <w:rPr>
          <w:rFonts w:cs="Arial"/>
          <w:spacing w:val="-14"/>
          <w:w w:val="80"/>
          <w:kern w:val="48"/>
        </w:rPr>
        <w:t>ΜμΕ</w:t>
      </w:r>
      <w:proofErr w:type="spellEnd"/>
      <w:r w:rsidR="009A42D3" w:rsidRPr="009A42D3">
        <w:rPr>
          <w:rFonts w:cs="Arial"/>
          <w:spacing w:val="-14"/>
          <w:w w:val="80"/>
          <w:kern w:val="48"/>
        </w:rPr>
        <w:t>)».</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r>
        <w:rPr>
          <w:rFonts w:cs="Arial"/>
          <w:bCs/>
          <w:spacing w:val="-14"/>
          <w:w w:val="80"/>
          <w:kern w:val="48"/>
        </w:rPr>
        <w:t xml:space="preserve">      </w:t>
      </w:r>
      <w:r w:rsidR="009A42D3" w:rsidRPr="009A42D3">
        <w:rPr>
          <w:rFonts w:cs="Arial"/>
          <w:spacing w:val="-14"/>
          <w:w w:val="80"/>
          <w:kern w:val="48"/>
        </w:rPr>
        <w:t>Το εν λόγω Σχέδιο περιλαμβάνεται στο Σχέδιο Ανάκαμψης και Ανθεκτικότητας της Κύπρου</w:t>
      </w:r>
      <w:r w:rsidR="008069D2">
        <w:rPr>
          <w:rFonts w:cs="Arial"/>
          <w:spacing w:val="-14"/>
          <w:w w:val="80"/>
          <w:kern w:val="48"/>
        </w:rPr>
        <w:t>,</w:t>
      </w:r>
      <w:r w:rsidR="009A42D3" w:rsidRPr="009A42D3">
        <w:rPr>
          <w:rFonts w:cs="Arial"/>
          <w:spacing w:val="-14"/>
          <w:w w:val="80"/>
          <w:kern w:val="48"/>
        </w:rPr>
        <w:t xml:space="preserve"> για την περίοδο 2021-2026</w:t>
      </w:r>
      <w:r w:rsidR="00287545">
        <w:rPr>
          <w:rFonts w:cs="Arial"/>
          <w:spacing w:val="-14"/>
          <w:w w:val="80"/>
          <w:kern w:val="48"/>
        </w:rPr>
        <w:t>,</w:t>
      </w:r>
      <w:r w:rsidR="009A42D3" w:rsidRPr="009A42D3">
        <w:rPr>
          <w:rFonts w:cs="Arial"/>
          <w:spacing w:val="-14"/>
          <w:w w:val="80"/>
          <w:kern w:val="48"/>
        </w:rPr>
        <w:t xml:space="preserve"> και θα χρηματοδοτηθεί από τον Μηχανισμό Ανάκαμψης και Ανθεκτικότητας της Ευρωπαϊκής Ένωσης (ΕΕ). Το συνολικό ποσό, που θα διατεθεί για τις ανάγκες του Σχεδίου, κατά τη διάρκεια της περιόδου εφαρμο</w:t>
      </w:r>
      <w:r w:rsidR="008069D2">
        <w:rPr>
          <w:rFonts w:cs="Arial"/>
          <w:spacing w:val="-14"/>
          <w:w w:val="80"/>
          <w:kern w:val="48"/>
        </w:rPr>
        <w:t>γής του, ανέρχεται στα 14,4 εκ</w:t>
      </w:r>
      <w:r w:rsidR="009A42D3" w:rsidRPr="009A42D3">
        <w:rPr>
          <w:rFonts w:cs="Arial"/>
          <w:spacing w:val="-14"/>
          <w:w w:val="80"/>
          <w:kern w:val="48"/>
        </w:rPr>
        <w:t>. Ευρώ.</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r>
        <w:rPr>
          <w:rFonts w:cs="Arial"/>
          <w:bCs/>
          <w:spacing w:val="-14"/>
          <w:w w:val="80"/>
          <w:kern w:val="48"/>
        </w:rPr>
        <w:t xml:space="preserve">      </w:t>
      </w:r>
      <w:r w:rsidR="009A42D3" w:rsidRPr="009A42D3">
        <w:rPr>
          <w:rFonts w:cs="Arial"/>
          <w:spacing w:val="-14"/>
          <w:w w:val="80"/>
          <w:kern w:val="48"/>
        </w:rPr>
        <w:t>Το Σχέδιο στοχεύει στη στήριξη των υφιστάμενων και νέων μικρομεσαίων επιχειρήσεων, μέσω της ενίσχυσης νέων επενδύσεων κυκλικής οικονομίας, ώστε να καταστήσουν τα προϊόντα τους, τις παραγωγικές τους διαδικασίες και τις επιχειρηματικές τους πρακτικές πιο φιλικές προς το περιβάλλον. Η χρηματοδοτική ενίσχυση συνίσταται στην παροχή επιχορήγησης για καθορισμένες επιλέξιμες δαπάνες, που αφορούν στη μετάβαση ή έναρξη λειτουργίας μιας επιχείρησης στη βάση ενός κυκλικού επιχειρηματικού μοντέλου.</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r>
        <w:rPr>
          <w:rFonts w:cs="Arial"/>
          <w:bCs/>
          <w:spacing w:val="-14"/>
          <w:w w:val="80"/>
          <w:kern w:val="48"/>
        </w:rPr>
        <w:t xml:space="preserve">      </w:t>
      </w:r>
      <w:r w:rsidR="009A42D3" w:rsidRPr="009A42D3">
        <w:rPr>
          <w:rFonts w:cs="Arial"/>
          <w:spacing w:val="-14"/>
          <w:w w:val="80"/>
          <w:kern w:val="48"/>
        </w:rPr>
        <w:t>Ση</w:t>
      </w:r>
      <w:r w:rsidR="009A42D3">
        <w:rPr>
          <w:rFonts w:cs="Arial"/>
          <w:spacing w:val="-14"/>
          <w:w w:val="80"/>
          <w:kern w:val="48"/>
        </w:rPr>
        <w:t>μειώνεται</w:t>
      </w:r>
      <w:r w:rsidR="009A42D3" w:rsidRPr="009A42D3">
        <w:rPr>
          <w:rFonts w:cs="Arial"/>
          <w:spacing w:val="-14"/>
          <w:w w:val="80"/>
          <w:kern w:val="48"/>
        </w:rPr>
        <w:t xml:space="preserve"> ότι δραστηριότητες, οι οποίες σχετίζονται με τους τομείς της αλιείας, της υδατοκαλλιέργειας και της πρωτογενούς παραγωγής γεωργικών/κτηνοτροφικών προϊόντων, καθώς και  της παραγωγής οίνου και ξυδιού από οίνο, που περιλαμβάνονται στο μέρος ΙΙ του Παραρτήματος VII του Κανονισμού (ΕΕ) 1308/2013, δεν καλύπτονται από το Σχέδιο. Το μέγιστο συνολικό ποσό επιχορήγησης,  που μπορεί να παραχωρηθεί σε μια μικρομεσαία επιχείρηση ανέρχεται σε 400.000 Ευρώ. Ο Οδηγός του Σχεδίου με όλες τις σχετικές αναλυτικές λεπτομέρειες βρίσκεται στην ιστοσελίδα της Υπηρεσίας Βιομηχανίας και Τεχνολογίας (</w:t>
      </w:r>
      <w:hyperlink r:id="rId13" w:history="1">
        <w:r w:rsidR="009A42D3" w:rsidRPr="009A42D3">
          <w:rPr>
            <w:rStyle w:val="Hyperlink"/>
            <w:rFonts w:cs="Arial"/>
            <w:spacing w:val="-14"/>
            <w:w w:val="80"/>
            <w:kern w:val="48"/>
          </w:rPr>
          <w:t>https://www.industry.gov.cy/</w:t>
        </w:r>
      </w:hyperlink>
      <w:r w:rsidR="00287545">
        <w:rPr>
          <w:rFonts w:cs="Arial"/>
          <w:spacing w:val="-14"/>
          <w:w w:val="80"/>
          <w:kern w:val="48"/>
        </w:rPr>
        <w:t>) του κ/</w:t>
      </w:r>
      <w:r w:rsidR="009A42D3" w:rsidRPr="009A42D3">
        <w:rPr>
          <w:rFonts w:cs="Arial"/>
          <w:spacing w:val="-14"/>
          <w:w w:val="80"/>
          <w:kern w:val="48"/>
        </w:rPr>
        <w:t>Υπουργείου Ενέργειας, Εμπορίου και Βιομηχανίας.</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p>
    <w:p w:rsidR="00A57508" w:rsidRDefault="002300A4" w:rsidP="00A57508">
      <w:pPr>
        <w:widowControl w:val="0"/>
        <w:autoSpaceDE w:val="0"/>
        <w:autoSpaceDN w:val="0"/>
        <w:adjustRightInd w:val="0"/>
        <w:spacing w:after="0" w:line="220" w:lineRule="exact"/>
        <w:ind w:left="142"/>
        <w:jc w:val="both"/>
        <w:outlineLvl w:val="0"/>
        <w:rPr>
          <w:rFonts w:cs="Arial"/>
          <w:bCs/>
          <w:spacing w:val="-14"/>
          <w:w w:val="80"/>
          <w:kern w:val="48"/>
        </w:rPr>
      </w:pPr>
      <w:r w:rsidRPr="00B77D7A">
        <w:rPr>
          <w:rFonts w:cs="Arial"/>
          <w:b/>
          <w:color w:val="31849B"/>
          <w:spacing w:val="-14"/>
          <w:w w:val="80"/>
          <w:kern w:val="48"/>
        </w:rPr>
        <w:t>6. ΕΝΕΡΓΕΙΑ</w:t>
      </w:r>
      <w:r w:rsidR="00F40C4A" w:rsidRPr="00B77D7A">
        <w:rPr>
          <w:rFonts w:cs="Arial"/>
          <w:b/>
          <w:color w:val="31849B"/>
          <w:spacing w:val="-14"/>
          <w:w w:val="80"/>
          <w:kern w:val="48"/>
        </w:rPr>
        <w:t xml:space="preserve"> –- </w:t>
      </w:r>
      <w:r w:rsidR="00EE4CFC" w:rsidRPr="00B77D7A">
        <w:rPr>
          <w:rFonts w:cs="Arial"/>
          <w:b/>
          <w:color w:val="31849B"/>
          <w:spacing w:val="-14"/>
          <w:w w:val="80"/>
          <w:kern w:val="48"/>
        </w:rPr>
        <w:t>ΠΕΡΙΒΑΛΛΟΝ</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p>
    <w:p w:rsidR="00A57508" w:rsidRDefault="00EE4CFC" w:rsidP="00A57508">
      <w:pPr>
        <w:widowControl w:val="0"/>
        <w:autoSpaceDE w:val="0"/>
        <w:autoSpaceDN w:val="0"/>
        <w:adjustRightInd w:val="0"/>
        <w:spacing w:after="0" w:line="220" w:lineRule="exact"/>
        <w:ind w:left="142"/>
        <w:jc w:val="both"/>
        <w:outlineLvl w:val="0"/>
        <w:rPr>
          <w:rFonts w:cs="Arial"/>
          <w:bCs/>
          <w:spacing w:val="-14"/>
          <w:w w:val="80"/>
          <w:kern w:val="48"/>
        </w:rPr>
      </w:pPr>
      <w:r w:rsidRPr="00B77D7A">
        <w:rPr>
          <w:rFonts w:cs="Arial"/>
          <w:b/>
          <w:color w:val="31849B"/>
          <w:spacing w:val="-14"/>
          <w:w w:val="80"/>
          <w:kern w:val="48"/>
        </w:rPr>
        <w:t xml:space="preserve">6.1 </w:t>
      </w:r>
      <w:r w:rsidRPr="00B77D7A">
        <w:rPr>
          <w:rFonts w:cs="Arial"/>
          <w:b/>
          <w:bCs/>
          <w:color w:val="31849B"/>
          <w:spacing w:val="-14"/>
          <w:w w:val="80"/>
          <w:kern w:val="48"/>
        </w:rPr>
        <w:t>2</w:t>
      </w:r>
      <w:r w:rsidRPr="00B77D7A">
        <w:rPr>
          <w:rFonts w:cs="Arial"/>
          <w:b/>
          <w:bCs/>
          <w:color w:val="31849B"/>
          <w:spacing w:val="-14"/>
          <w:w w:val="80"/>
          <w:kern w:val="48"/>
          <w:vertAlign w:val="superscript"/>
        </w:rPr>
        <w:t>ο</w:t>
      </w:r>
      <w:r w:rsidRPr="00B77D7A">
        <w:rPr>
          <w:rFonts w:cs="Arial"/>
          <w:b/>
          <w:bCs/>
          <w:color w:val="31849B"/>
          <w:spacing w:val="-14"/>
          <w:w w:val="80"/>
          <w:kern w:val="48"/>
        </w:rPr>
        <w:t xml:space="preserve"> Συνέδριο για τις Πράσινες και Βιώσιμες Χρηματοδοτήσεις </w:t>
      </w:r>
      <w:r w:rsidRPr="00B77D7A">
        <w:rPr>
          <w:rFonts w:cs="Arial"/>
          <w:b/>
          <w:color w:val="31849B"/>
          <w:spacing w:val="-14"/>
          <w:w w:val="80"/>
          <w:kern w:val="48"/>
        </w:rPr>
        <w:t>“</w:t>
      </w:r>
      <w:r w:rsidRPr="00B77D7A">
        <w:rPr>
          <w:rFonts w:cs="Arial"/>
          <w:b/>
          <w:color w:val="31849B"/>
          <w:spacing w:val="-14"/>
          <w:w w:val="80"/>
          <w:kern w:val="48"/>
          <w:lang w:val="en-US"/>
        </w:rPr>
        <w:t>Green</w:t>
      </w:r>
      <w:r w:rsidRPr="00B77D7A">
        <w:rPr>
          <w:rFonts w:cs="Arial"/>
          <w:b/>
          <w:color w:val="31849B"/>
          <w:spacing w:val="-14"/>
          <w:w w:val="80"/>
          <w:kern w:val="48"/>
        </w:rPr>
        <w:t xml:space="preserve"> </w:t>
      </w:r>
      <w:r w:rsidRPr="00B77D7A">
        <w:rPr>
          <w:rFonts w:cs="Arial"/>
          <w:b/>
          <w:color w:val="31849B"/>
          <w:spacing w:val="-14"/>
          <w:w w:val="80"/>
          <w:kern w:val="48"/>
          <w:lang w:val="en-US"/>
        </w:rPr>
        <w:t>and</w:t>
      </w:r>
      <w:r w:rsidRPr="00B77D7A">
        <w:rPr>
          <w:rFonts w:cs="Arial"/>
          <w:b/>
          <w:color w:val="31849B"/>
          <w:spacing w:val="-14"/>
          <w:w w:val="80"/>
          <w:kern w:val="48"/>
        </w:rPr>
        <w:t xml:space="preserve"> </w:t>
      </w:r>
      <w:r w:rsidRPr="00B77D7A">
        <w:rPr>
          <w:rFonts w:cs="Arial"/>
          <w:b/>
          <w:color w:val="31849B"/>
          <w:spacing w:val="-14"/>
          <w:w w:val="80"/>
          <w:kern w:val="48"/>
          <w:lang w:val="en-US"/>
        </w:rPr>
        <w:t>Sustainable</w:t>
      </w:r>
      <w:r w:rsidRPr="00B77D7A">
        <w:rPr>
          <w:rFonts w:cs="Arial"/>
          <w:b/>
          <w:color w:val="31849B"/>
          <w:spacing w:val="-14"/>
          <w:w w:val="80"/>
          <w:kern w:val="48"/>
        </w:rPr>
        <w:t xml:space="preserve"> </w:t>
      </w:r>
      <w:r w:rsidRPr="00B77D7A">
        <w:rPr>
          <w:rFonts w:cs="Arial"/>
          <w:b/>
          <w:color w:val="31849B"/>
          <w:spacing w:val="-14"/>
          <w:w w:val="80"/>
          <w:kern w:val="48"/>
          <w:lang w:val="en-US"/>
        </w:rPr>
        <w:t>Finance</w:t>
      </w:r>
      <w:r w:rsidRPr="00B77D7A">
        <w:rPr>
          <w:rFonts w:cs="Arial"/>
          <w:b/>
          <w:color w:val="31849B"/>
          <w:spacing w:val="-14"/>
          <w:w w:val="80"/>
          <w:kern w:val="48"/>
        </w:rPr>
        <w:t xml:space="preserve"> </w:t>
      </w:r>
      <w:r w:rsidRPr="00B77D7A">
        <w:rPr>
          <w:rFonts w:cs="Arial"/>
          <w:b/>
          <w:color w:val="31849B"/>
          <w:spacing w:val="-14"/>
          <w:w w:val="80"/>
          <w:kern w:val="48"/>
          <w:lang w:val="en-US"/>
        </w:rPr>
        <w:t>Conference</w:t>
      </w:r>
      <w:r w:rsidRPr="00B77D7A">
        <w:rPr>
          <w:rFonts w:cs="Arial"/>
          <w:b/>
          <w:color w:val="31849B"/>
          <w:spacing w:val="-14"/>
          <w:w w:val="80"/>
          <w:kern w:val="48"/>
        </w:rPr>
        <w:t xml:space="preserve">, </w:t>
      </w:r>
      <w:r w:rsidRPr="00B77D7A">
        <w:rPr>
          <w:rFonts w:cs="Arial"/>
          <w:b/>
          <w:bCs/>
          <w:color w:val="31849B"/>
          <w:spacing w:val="-14"/>
          <w:w w:val="80"/>
          <w:kern w:val="48"/>
        </w:rPr>
        <w:t xml:space="preserve"> Λευκωσία, 18.1.24</w:t>
      </w:r>
    </w:p>
    <w:p w:rsid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r>
        <w:rPr>
          <w:rFonts w:cs="Arial"/>
          <w:bCs/>
          <w:spacing w:val="-14"/>
          <w:w w:val="80"/>
          <w:kern w:val="48"/>
        </w:rPr>
        <w:t xml:space="preserve">      </w:t>
      </w:r>
      <w:r w:rsidR="00B46DFB" w:rsidRPr="00A36633">
        <w:rPr>
          <w:rFonts w:cs="Arial"/>
          <w:spacing w:val="-14"/>
          <w:w w:val="80"/>
          <w:kern w:val="48"/>
        </w:rPr>
        <w:t xml:space="preserve">Στις 18 Ιανουαρίου  </w:t>
      </w:r>
      <w:proofErr w:type="spellStart"/>
      <w:r w:rsidR="00B46DFB" w:rsidRPr="00A36633">
        <w:rPr>
          <w:rFonts w:cs="Arial"/>
          <w:spacing w:val="-14"/>
          <w:w w:val="80"/>
          <w:kern w:val="48"/>
        </w:rPr>
        <w:t>τ.έ</w:t>
      </w:r>
      <w:proofErr w:type="spellEnd"/>
      <w:r w:rsidR="00B46DFB" w:rsidRPr="00A36633">
        <w:rPr>
          <w:rFonts w:cs="Arial"/>
          <w:spacing w:val="-14"/>
          <w:w w:val="80"/>
          <w:kern w:val="48"/>
        </w:rPr>
        <w:t xml:space="preserve">., έλαβε χώρα εν </w:t>
      </w:r>
      <w:proofErr w:type="spellStart"/>
      <w:r w:rsidR="00B46DFB" w:rsidRPr="00A36633">
        <w:rPr>
          <w:rFonts w:cs="Arial"/>
          <w:spacing w:val="-14"/>
          <w:w w:val="80"/>
          <w:kern w:val="48"/>
        </w:rPr>
        <w:t>θέματι</w:t>
      </w:r>
      <w:proofErr w:type="spellEnd"/>
      <w:r w:rsidR="00B46DFB" w:rsidRPr="00A36633">
        <w:rPr>
          <w:rFonts w:cs="Arial"/>
          <w:spacing w:val="-14"/>
          <w:w w:val="80"/>
          <w:kern w:val="48"/>
        </w:rPr>
        <w:t xml:space="preserve"> Συνέδριο, το οποίο διοργανώθηκε για δεύτερη συνεχόμενη χρονιά. Το Συνέδριο αποτελεί πρωτοβουλία των εταιρειών </w:t>
      </w:r>
      <w:proofErr w:type="spellStart"/>
      <w:r w:rsidR="00B46DFB" w:rsidRPr="00A36633">
        <w:rPr>
          <w:rFonts w:cs="Arial"/>
          <w:spacing w:val="-14"/>
          <w:w w:val="80"/>
          <w:kern w:val="48"/>
          <w:lang w:val="en-US"/>
        </w:rPr>
        <w:t>I</w:t>
      </w:r>
      <w:r w:rsidR="00B46DFB" w:rsidRPr="00A36633">
        <w:rPr>
          <w:rFonts w:cs="Arial"/>
          <w:bCs/>
          <w:spacing w:val="-14"/>
          <w:w w:val="80"/>
          <w:kern w:val="48"/>
          <w:lang w:val="en-US"/>
        </w:rPr>
        <w:t>deopsis</w:t>
      </w:r>
      <w:proofErr w:type="spellEnd"/>
      <w:r w:rsidR="00B46DFB" w:rsidRPr="00A36633">
        <w:rPr>
          <w:rFonts w:cs="Arial"/>
          <w:bCs/>
          <w:spacing w:val="-14"/>
          <w:w w:val="80"/>
          <w:kern w:val="48"/>
        </w:rPr>
        <w:t xml:space="preserve"> </w:t>
      </w:r>
      <w:r w:rsidR="00B46DFB" w:rsidRPr="00A36633">
        <w:rPr>
          <w:rFonts w:cs="Arial"/>
          <w:bCs/>
          <w:spacing w:val="-14"/>
          <w:w w:val="80"/>
          <w:kern w:val="48"/>
          <w:lang w:val="en-US"/>
        </w:rPr>
        <w:t>Ltd</w:t>
      </w:r>
      <w:r w:rsidR="00B46DFB" w:rsidRPr="00A36633">
        <w:rPr>
          <w:rFonts w:cs="Arial"/>
          <w:spacing w:val="-14"/>
          <w:w w:val="80"/>
          <w:kern w:val="48"/>
        </w:rPr>
        <w:t xml:space="preserve"> και </w:t>
      </w:r>
      <w:r w:rsidR="00B46DFB" w:rsidRPr="00A36633">
        <w:rPr>
          <w:rFonts w:cs="Arial"/>
          <w:bCs/>
          <w:spacing w:val="-14"/>
          <w:w w:val="80"/>
          <w:kern w:val="48"/>
          <w:lang w:val="en-US"/>
        </w:rPr>
        <w:t>Grant</w:t>
      </w:r>
      <w:r w:rsidR="00B46DFB" w:rsidRPr="00A36633">
        <w:rPr>
          <w:rFonts w:cs="Arial"/>
          <w:bCs/>
          <w:spacing w:val="-14"/>
          <w:w w:val="80"/>
          <w:kern w:val="48"/>
        </w:rPr>
        <w:t xml:space="preserve"> </w:t>
      </w:r>
      <w:r w:rsidR="00B46DFB" w:rsidRPr="00A36633">
        <w:rPr>
          <w:rFonts w:cs="Arial"/>
          <w:bCs/>
          <w:spacing w:val="-14"/>
          <w:w w:val="80"/>
          <w:kern w:val="48"/>
          <w:lang w:val="en-US"/>
        </w:rPr>
        <w:t>Thornton</w:t>
      </w:r>
      <w:r w:rsidR="00B46DFB" w:rsidRPr="00A36633">
        <w:rPr>
          <w:rFonts w:cs="Arial"/>
          <w:bCs/>
          <w:spacing w:val="-14"/>
          <w:w w:val="80"/>
          <w:kern w:val="48"/>
        </w:rPr>
        <w:t xml:space="preserve"> (</w:t>
      </w:r>
      <w:proofErr w:type="spellStart"/>
      <w:r w:rsidR="00B46DFB" w:rsidRPr="00A36633">
        <w:rPr>
          <w:rFonts w:cs="Arial"/>
          <w:bCs/>
          <w:spacing w:val="-14"/>
          <w:w w:val="80"/>
          <w:kern w:val="48"/>
        </w:rPr>
        <w:t>Cyprus</w:t>
      </w:r>
      <w:proofErr w:type="spellEnd"/>
      <w:r w:rsidR="00B46DFB" w:rsidRPr="00A36633">
        <w:rPr>
          <w:rFonts w:cs="Arial"/>
          <w:bCs/>
          <w:spacing w:val="-14"/>
          <w:w w:val="80"/>
          <w:kern w:val="48"/>
        </w:rPr>
        <w:t xml:space="preserve">) </w:t>
      </w:r>
      <w:proofErr w:type="spellStart"/>
      <w:r w:rsidR="00B46DFB" w:rsidRPr="00A36633">
        <w:rPr>
          <w:rFonts w:cs="Arial"/>
          <w:bCs/>
          <w:spacing w:val="-14"/>
          <w:w w:val="80"/>
          <w:kern w:val="48"/>
        </w:rPr>
        <w:t>Ltd</w:t>
      </w:r>
      <w:proofErr w:type="spellEnd"/>
      <w:r w:rsidR="00B46DFB" w:rsidRPr="00A36633">
        <w:rPr>
          <w:rFonts w:cs="Arial"/>
          <w:spacing w:val="-14"/>
          <w:w w:val="80"/>
          <w:kern w:val="48"/>
        </w:rPr>
        <w:t xml:space="preserve"> και υποστηρίζεται από την </w:t>
      </w:r>
      <w:r w:rsidR="00B46DFB" w:rsidRPr="00A36633">
        <w:rPr>
          <w:rFonts w:cs="Arial"/>
          <w:bCs/>
          <w:spacing w:val="-14"/>
          <w:w w:val="80"/>
          <w:kern w:val="48"/>
        </w:rPr>
        <w:t>Βρετανική Ύπατη Αρμοστεία στη Λευκωσία</w:t>
      </w:r>
      <w:r w:rsidR="00B46DFB" w:rsidRPr="00A36633">
        <w:rPr>
          <w:rFonts w:cs="Arial"/>
          <w:spacing w:val="-14"/>
          <w:w w:val="80"/>
          <w:kern w:val="48"/>
        </w:rPr>
        <w:t xml:space="preserve">. </w:t>
      </w:r>
    </w:p>
    <w:p w:rsidR="00B46DFB" w:rsidRPr="00A57508" w:rsidRDefault="00A57508" w:rsidP="00A57508">
      <w:pPr>
        <w:widowControl w:val="0"/>
        <w:autoSpaceDE w:val="0"/>
        <w:autoSpaceDN w:val="0"/>
        <w:adjustRightInd w:val="0"/>
        <w:spacing w:after="0" w:line="220" w:lineRule="exact"/>
        <w:ind w:left="142"/>
        <w:jc w:val="both"/>
        <w:outlineLvl w:val="0"/>
        <w:rPr>
          <w:rFonts w:cs="Arial"/>
          <w:bCs/>
          <w:spacing w:val="-14"/>
          <w:w w:val="80"/>
          <w:kern w:val="48"/>
        </w:rPr>
      </w:pPr>
      <w:r>
        <w:rPr>
          <w:rFonts w:cs="Arial"/>
          <w:bCs/>
          <w:spacing w:val="-14"/>
          <w:w w:val="80"/>
          <w:kern w:val="48"/>
        </w:rPr>
        <w:t xml:space="preserve">       </w:t>
      </w:r>
      <w:r w:rsidR="00B46DFB" w:rsidRPr="00A36633">
        <w:rPr>
          <w:rFonts w:cs="Arial"/>
          <w:spacing w:val="-14"/>
          <w:w w:val="80"/>
          <w:kern w:val="48"/>
        </w:rPr>
        <w:t>Το εν λόγω συνέδριο, με κεντρικό θέμα</w:t>
      </w:r>
      <w:r w:rsidR="00E5760B">
        <w:rPr>
          <w:rFonts w:cs="Arial"/>
          <w:spacing w:val="-14"/>
          <w:w w:val="80"/>
          <w:kern w:val="48"/>
        </w:rPr>
        <w:t>,</w:t>
      </w:r>
      <w:r w:rsidR="00B46DFB" w:rsidRPr="00A36633">
        <w:rPr>
          <w:rFonts w:cs="Arial"/>
          <w:spacing w:val="-14"/>
          <w:w w:val="80"/>
          <w:kern w:val="48"/>
        </w:rPr>
        <w:t xml:space="preserve"> τη μετάβαση σε ένα πλανήτη ανθρακικά ουδέτερο και απόλυτα βιώσιμο στο πλαίσιο της στροφής σε μια πράσινη και βιώσιμη οικονομία, φιλοξένησε διακεκριμένους ομιλητές από την Κύπρο και το εξωτερικό. Μεταξύ των ομιλητών</w:t>
      </w:r>
      <w:r w:rsidR="00E5760B">
        <w:rPr>
          <w:rFonts w:cs="Arial"/>
          <w:spacing w:val="-14"/>
          <w:w w:val="80"/>
          <w:kern w:val="48"/>
        </w:rPr>
        <w:t>,</w:t>
      </w:r>
      <w:r w:rsidR="00B46DFB" w:rsidRPr="00A36633">
        <w:rPr>
          <w:rFonts w:cs="Arial"/>
          <w:spacing w:val="-14"/>
          <w:w w:val="80"/>
          <w:kern w:val="48"/>
        </w:rPr>
        <w:t xml:space="preserve"> ήταν εκπρόσωποι του ακαδημαϊκού τομέα, της Ευρωπαϊκής Επιτροπής, ανώτεροι κρατικοί αξιωματούχοι και στελέχη του ιδιωτικού τομέα, επενδυτικών φορέων και τραπεζών. </w:t>
      </w:r>
    </w:p>
    <w:p w:rsidR="00B46DFB" w:rsidRPr="00A36633" w:rsidRDefault="00B46DFB" w:rsidP="003C0854">
      <w:pPr>
        <w:spacing w:after="0" w:line="220" w:lineRule="exact"/>
        <w:jc w:val="both"/>
        <w:outlineLvl w:val="0"/>
        <w:rPr>
          <w:rFonts w:cs="Arial"/>
          <w:spacing w:val="-14"/>
          <w:w w:val="80"/>
          <w:kern w:val="48"/>
        </w:rPr>
      </w:pPr>
      <w:r w:rsidRPr="00A36633">
        <w:rPr>
          <w:rFonts w:cs="Arial"/>
          <w:spacing w:val="-14"/>
          <w:w w:val="80"/>
          <w:kern w:val="48"/>
        </w:rPr>
        <w:lastRenderedPageBreak/>
        <w:t xml:space="preserve">      Οι δύο θεματι</w:t>
      </w:r>
      <w:r w:rsidR="00E5760B">
        <w:rPr>
          <w:rFonts w:cs="Arial"/>
          <w:spacing w:val="-14"/>
          <w:w w:val="80"/>
          <w:kern w:val="48"/>
        </w:rPr>
        <w:t>κές ενότητες του Συνεδρίου αφορούσαν σε</w:t>
      </w:r>
      <w:r w:rsidRPr="00A36633">
        <w:rPr>
          <w:rFonts w:cs="Arial"/>
          <w:spacing w:val="-14"/>
          <w:w w:val="80"/>
          <w:kern w:val="48"/>
        </w:rPr>
        <w:t>:</w:t>
      </w:r>
    </w:p>
    <w:p w:rsidR="00B46DFB" w:rsidRPr="00A36633" w:rsidRDefault="00B46DFB" w:rsidP="003C0854">
      <w:pPr>
        <w:spacing w:after="0" w:line="220" w:lineRule="exact"/>
        <w:jc w:val="both"/>
        <w:outlineLvl w:val="0"/>
        <w:rPr>
          <w:rFonts w:cs="Arial"/>
          <w:spacing w:val="-14"/>
          <w:w w:val="80"/>
          <w:kern w:val="48"/>
        </w:rPr>
      </w:pPr>
      <w:r w:rsidRPr="00A36633">
        <w:rPr>
          <w:rFonts w:cs="Arial"/>
          <w:spacing w:val="-14"/>
          <w:w w:val="80"/>
          <w:kern w:val="48"/>
        </w:rPr>
        <w:t>(α) «Αύξηση των φιλοδοξιών και αντιμετώπιση της αποτελεσματικότητας των πολιτικών» και</w:t>
      </w:r>
    </w:p>
    <w:p w:rsidR="00B46DFB" w:rsidRPr="00A36633" w:rsidRDefault="00B46DFB" w:rsidP="003C0854">
      <w:pPr>
        <w:spacing w:after="0" w:line="220" w:lineRule="exact"/>
        <w:jc w:val="both"/>
        <w:outlineLvl w:val="0"/>
        <w:rPr>
          <w:rFonts w:cs="Arial"/>
          <w:spacing w:val="-14"/>
          <w:w w:val="80"/>
          <w:kern w:val="48"/>
        </w:rPr>
      </w:pPr>
      <w:r w:rsidRPr="00A36633">
        <w:rPr>
          <w:rFonts w:cs="Arial"/>
          <w:spacing w:val="-14"/>
          <w:w w:val="80"/>
          <w:kern w:val="48"/>
        </w:rPr>
        <w:t xml:space="preserve">(β) «Στρατηγικές μετασχηματισμού της πράσινης οικονομίας/πράσινα ομόλογα». </w:t>
      </w:r>
    </w:p>
    <w:p w:rsidR="00B46DFB" w:rsidRPr="00A36633" w:rsidRDefault="00B46DFB" w:rsidP="003C0854">
      <w:pPr>
        <w:spacing w:after="0" w:line="220" w:lineRule="exact"/>
        <w:jc w:val="both"/>
        <w:outlineLvl w:val="0"/>
        <w:rPr>
          <w:rFonts w:cs="Arial"/>
          <w:spacing w:val="-14"/>
          <w:w w:val="80"/>
          <w:kern w:val="48"/>
        </w:rPr>
      </w:pPr>
      <w:r w:rsidRPr="00A36633">
        <w:rPr>
          <w:rFonts w:cs="Arial"/>
          <w:spacing w:val="-14"/>
          <w:w w:val="80"/>
          <w:kern w:val="48"/>
        </w:rPr>
        <w:t xml:space="preserve">      Στην πρώτη ενότητα</w:t>
      </w:r>
      <w:r w:rsidRPr="00A36633">
        <w:rPr>
          <w:rFonts w:cs="Arial"/>
          <w:spacing w:val="-14"/>
          <w:w w:val="80"/>
          <w:kern w:val="48"/>
          <w:lang w:val="en-US"/>
        </w:rPr>
        <w:t>:</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τονίστηκε η ανάγκη ανάπτυξης, υιοθέτησης και αποτελεσματικής εφαρμογή</w:t>
      </w:r>
      <w:r w:rsidR="00E5760B">
        <w:rPr>
          <w:rFonts w:cs="Arial"/>
          <w:spacing w:val="-14"/>
          <w:w w:val="80"/>
          <w:kern w:val="48"/>
        </w:rPr>
        <w:t>ς</w:t>
      </w:r>
      <w:r w:rsidRPr="00A36633">
        <w:rPr>
          <w:rFonts w:cs="Arial"/>
          <w:spacing w:val="-14"/>
          <w:w w:val="80"/>
          <w:kern w:val="48"/>
        </w:rPr>
        <w:t xml:space="preserve"> πολιτικών για την αντιμετώπιση της κλιματικής αλλαγής, στο πλαίσιο της βιώσιμης ανάπτυξης και αύξηση των συμπληρωματικών κανονιστικών ρυθμίσεων, πέραν των υφιστάμενων ευρωπαϊκών πολιτικών, που θα μπορούσαν να επιφέρουν κινητοποίηση κεφαλαίων για υλοποίηση «πράσινων έργων»,</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 xml:space="preserve">παρατέθηκαν χρήσιμα στοιχεία σχετικά με τον Κανονισμό της Ευρωπαϊκής Ένωσης για την Ταξινομία καθώς και τον «πράσινο» μετασχηματισμό της ευρωπαϊκής οικονομίας, </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επισημάνθηκε ότι η Στρατηγική για τα Βιώσιμα Χρηματοοικονομικά της Ευρωπαϊκής Επιτροπής βρίσκεται στην ίδια γραμμή πλεύσης με την Ευρωπαϊκή Πράσινη Συμφωνία, αφού για την υλοποίηση των στόχων της δεύτερης απαιτούνται μεγάλες βιώσιμες επενδύσεις σε πράσινα έργα και τεχνολογίες, με χαμηλό αποτύπωμα άνθρακα, που δεν υποβαθμίζουν το φυσικό περιβάλλον (π.χ. εγκαταστάσεις έργων Ανανεώσιμων Πηγών Ενέργειας, Εναλλακτικών Καυσίμων κ.λπ.),</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διαπιστώθηκε ότι το βιώσιμο χρηματοοικονομικό σύστημα στην ΕΕ, θα συνεχίσει να εξελίσσεται και να προσαρμόζεται, προσφέροντας τις καλύτερες δυνατές συνθήκες και για τους επενδυτές και για την επιχειρηματική δραστηριότητα,</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 xml:space="preserve">σημειώθηκε ότι η μετάβαση σε μια πράσινη και βιώσιμη οικονομία απαιτεί χρόνο και η πορεία προς την </w:t>
      </w:r>
      <w:proofErr w:type="spellStart"/>
      <w:r w:rsidRPr="00A36633">
        <w:rPr>
          <w:rFonts w:cs="Arial"/>
          <w:spacing w:val="-14"/>
          <w:w w:val="80"/>
          <w:kern w:val="48"/>
        </w:rPr>
        <w:t>αειφορία</w:t>
      </w:r>
      <w:proofErr w:type="spellEnd"/>
      <w:r w:rsidRPr="00A36633">
        <w:rPr>
          <w:rFonts w:cs="Arial"/>
          <w:spacing w:val="-14"/>
          <w:w w:val="80"/>
          <w:kern w:val="48"/>
        </w:rPr>
        <w:t xml:space="preserve"> επιβάλλει συντονισμό των εμπλεκόμενων φορέων.</w:t>
      </w:r>
    </w:p>
    <w:p w:rsidR="00B46DFB" w:rsidRPr="00A36633" w:rsidRDefault="00B46DFB" w:rsidP="003C0854">
      <w:pPr>
        <w:spacing w:after="0" w:line="220" w:lineRule="exact"/>
        <w:ind w:left="73"/>
        <w:jc w:val="both"/>
        <w:outlineLvl w:val="0"/>
        <w:rPr>
          <w:rFonts w:cs="Arial"/>
          <w:bCs/>
          <w:spacing w:val="-14"/>
          <w:w w:val="80"/>
          <w:kern w:val="48"/>
        </w:rPr>
      </w:pPr>
      <w:r w:rsidRPr="00A36633">
        <w:rPr>
          <w:rFonts w:cs="Arial"/>
          <w:bCs/>
          <w:spacing w:val="-14"/>
          <w:w w:val="80"/>
          <w:kern w:val="48"/>
        </w:rPr>
        <w:t xml:space="preserve">      </w:t>
      </w:r>
      <w:r w:rsidR="00E5760B">
        <w:rPr>
          <w:rFonts w:cs="Arial"/>
          <w:bCs/>
          <w:spacing w:val="-14"/>
          <w:w w:val="80"/>
          <w:kern w:val="48"/>
        </w:rPr>
        <w:t xml:space="preserve"> </w:t>
      </w:r>
      <w:r w:rsidRPr="00A36633">
        <w:rPr>
          <w:rFonts w:cs="Arial"/>
          <w:spacing w:val="-14"/>
          <w:w w:val="80"/>
          <w:kern w:val="48"/>
        </w:rPr>
        <w:t>Στη δεύτερη ενότητα :</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ετέθησαν ζητήματα στρατηγικής για μια πράσινη οικονομία, όπως τα πράσινα ομόλογα, τα οποία αποτελούν μέσο χρηματοδότησης για έργα βελτίωσης της περιβαλλοντικής απόδοσης και τη στήριξη της πράσινης οικονομίας,</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 xml:space="preserve">υπογραμμίστηκε ο ρόλος των βασικών εμπλεκόμενων χρηματοπιστωτικών φορέων, αλλά και οι προκλήσεις, που αντιμετωπίζουν οι ιδιώτες επενδυτές στη δανειοδότηση πράσινων έργων και ιδίως τα κυριότερα χαρακτηριστικά μιας αξιόπιστης μετάβασης, όπως η σημασία χρήσης </w:t>
      </w:r>
      <w:proofErr w:type="spellStart"/>
      <w:r w:rsidRPr="00A36633">
        <w:rPr>
          <w:rFonts w:cs="Arial"/>
          <w:spacing w:val="-14"/>
          <w:w w:val="80"/>
          <w:kern w:val="48"/>
        </w:rPr>
        <w:t>ποσοτικοποιημένων</w:t>
      </w:r>
      <w:proofErr w:type="spellEnd"/>
      <w:r w:rsidRPr="00A36633">
        <w:rPr>
          <w:rFonts w:cs="Arial"/>
          <w:spacing w:val="-14"/>
          <w:w w:val="80"/>
          <w:kern w:val="48"/>
        </w:rPr>
        <w:t xml:space="preserve"> δεικτών και η ανάγκη υιοθέτησης νέων διεθνών οικονομικών μοντέλων, </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τονίστηκε η συμβολή του χρηματοπιστωτικού τομέα διεθνώς, ώστε να αντιμετωπιστεί η κλιματική αλλαγή και η περιβαλλοντική υποβάθμιση, με στόχο να διασφαλιστεί η οικονομική ανάπτυξη και η ανάκαμψη των επιχειρήσεων, λαμβάνοντας παράλληλα υπόψη  περιβαλλοντικές, κοινωνικές και διακυβερνητικές παραμέτρους.</w:t>
      </w:r>
    </w:p>
    <w:p w:rsidR="00B46DFB" w:rsidRPr="00A36633" w:rsidRDefault="00B46DFB" w:rsidP="003C0854">
      <w:pPr>
        <w:spacing w:after="0" w:line="220" w:lineRule="exact"/>
        <w:ind w:left="73"/>
        <w:jc w:val="both"/>
        <w:outlineLvl w:val="0"/>
        <w:rPr>
          <w:rFonts w:cs="Arial"/>
          <w:bCs/>
          <w:spacing w:val="-14"/>
          <w:w w:val="80"/>
          <w:kern w:val="48"/>
        </w:rPr>
      </w:pPr>
      <w:r w:rsidRPr="00A36633">
        <w:rPr>
          <w:rFonts w:cs="Arial"/>
          <w:bCs/>
          <w:spacing w:val="-14"/>
          <w:w w:val="80"/>
          <w:kern w:val="48"/>
        </w:rPr>
        <w:t xml:space="preserve">      Τέλος, σημειώνουμε :</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 xml:space="preserve">την υψηλή δυναμική του χρηματοπιστωτικού τομέα, μέσω της χρηματοδότησης για την ευαισθητοποίηση και ενημέρωση των επενδυτών σε θέματα </w:t>
      </w:r>
      <w:proofErr w:type="spellStart"/>
      <w:r w:rsidRPr="00A36633">
        <w:rPr>
          <w:rFonts w:cs="Arial"/>
          <w:spacing w:val="-14"/>
          <w:w w:val="80"/>
          <w:kern w:val="48"/>
        </w:rPr>
        <w:t>αειφορίας</w:t>
      </w:r>
      <w:proofErr w:type="spellEnd"/>
      <w:r w:rsidRPr="00A36633">
        <w:rPr>
          <w:rFonts w:cs="Arial"/>
          <w:spacing w:val="-14"/>
          <w:w w:val="80"/>
          <w:kern w:val="48"/>
        </w:rPr>
        <w:t>,</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 xml:space="preserve">τη στροφή μεγάλων </w:t>
      </w:r>
      <w:proofErr w:type="spellStart"/>
      <w:r w:rsidRPr="00A36633">
        <w:rPr>
          <w:rFonts w:cs="Arial"/>
          <w:spacing w:val="-14"/>
          <w:w w:val="80"/>
          <w:kern w:val="48"/>
        </w:rPr>
        <w:t>χρηματοπιστωπικών</w:t>
      </w:r>
      <w:proofErr w:type="spellEnd"/>
      <w:r w:rsidRPr="00A36633">
        <w:rPr>
          <w:rFonts w:cs="Arial"/>
          <w:spacing w:val="-14"/>
          <w:w w:val="80"/>
          <w:kern w:val="48"/>
        </w:rPr>
        <w:t xml:space="preserve"> κέντρων (όπως Λονδίνου και Λουξεμβούργου) σε πράσινες χρηματοδοτήσεις. Επί παραδείγματι, επενδυτικοί φορείς του Λουξεμβούργου έχουν τοποθετήσει 2,9 </w:t>
      </w:r>
      <w:proofErr w:type="spellStart"/>
      <w:r w:rsidRPr="00A36633">
        <w:rPr>
          <w:rFonts w:cs="Arial"/>
          <w:spacing w:val="-14"/>
          <w:w w:val="80"/>
          <w:kern w:val="48"/>
        </w:rPr>
        <w:t>τρισ</w:t>
      </w:r>
      <w:proofErr w:type="spellEnd"/>
      <w:r w:rsidRPr="00A36633">
        <w:rPr>
          <w:rFonts w:cs="Arial"/>
          <w:spacing w:val="-14"/>
          <w:w w:val="80"/>
          <w:kern w:val="48"/>
        </w:rPr>
        <w:t>. Ευρώ σε αειφόρες επενδύσεις (</w:t>
      </w:r>
      <w:r w:rsidRPr="00A36633">
        <w:rPr>
          <w:rFonts w:cs="Arial"/>
          <w:spacing w:val="-14"/>
          <w:w w:val="80"/>
          <w:kern w:val="48"/>
          <w:lang w:val="en-US"/>
        </w:rPr>
        <w:t>sustainable</w:t>
      </w:r>
      <w:r w:rsidRPr="00A36633">
        <w:rPr>
          <w:rFonts w:cs="Arial"/>
          <w:spacing w:val="-14"/>
          <w:w w:val="80"/>
          <w:kern w:val="48"/>
        </w:rPr>
        <w:t xml:space="preserve"> </w:t>
      </w:r>
      <w:r w:rsidRPr="00A36633">
        <w:rPr>
          <w:rFonts w:cs="Arial"/>
          <w:spacing w:val="-14"/>
          <w:w w:val="80"/>
          <w:kern w:val="48"/>
          <w:lang w:val="en-US"/>
        </w:rPr>
        <w:t>assets</w:t>
      </w:r>
      <w:r w:rsidRPr="00A36633">
        <w:rPr>
          <w:rFonts w:cs="Arial"/>
          <w:spacing w:val="-14"/>
          <w:w w:val="80"/>
          <w:kern w:val="48"/>
        </w:rPr>
        <w:t xml:space="preserve">), το 53% των οποίων σε επενδυτικά ταμεία, προσανατολισμένα στην επίτευξη περιβαλλοντικών και κοινωνικών στόχων, </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την ανάπτυξη παραπλανητικών μεθόδων “</w:t>
      </w:r>
      <w:proofErr w:type="spellStart"/>
      <w:r w:rsidRPr="00A36633">
        <w:rPr>
          <w:rFonts w:cs="Arial"/>
          <w:spacing w:val="-14"/>
          <w:w w:val="80"/>
          <w:kern w:val="48"/>
          <w:lang w:val="en-US"/>
        </w:rPr>
        <w:t>greenwashing</w:t>
      </w:r>
      <w:proofErr w:type="spellEnd"/>
      <w:r w:rsidRPr="00A36633">
        <w:rPr>
          <w:rFonts w:cs="Arial"/>
          <w:spacing w:val="-14"/>
          <w:w w:val="80"/>
          <w:kern w:val="48"/>
        </w:rPr>
        <w:t>” από επενδυτικούς ή και χρηματοδοτικούς φορείς</w:t>
      </w:r>
      <w:r w:rsidR="00E5760B">
        <w:rPr>
          <w:rFonts w:cs="Arial"/>
          <w:spacing w:val="-14"/>
          <w:w w:val="80"/>
          <w:kern w:val="48"/>
        </w:rPr>
        <w:t>.</w:t>
      </w:r>
      <w:r w:rsidRPr="00A36633">
        <w:rPr>
          <w:rFonts w:cs="Arial"/>
          <w:spacing w:val="-14"/>
          <w:w w:val="80"/>
          <w:kern w:val="48"/>
        </w:rPr>
        <w:t xml:space="preserve"> μέσω της διαφήμισης, οι οποίες συμβάλλουν στην αποτυχία των αγορών, </w:t>
      </w:r>
    </w:p>
    <w:p w:rsidR="00B46DFB" w:rsidRPr="00A36633"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η ρεαλιστικότερη μέθοδος προσέγγισης των επιμέρους διεθνών ρυθμιστικών πλαισίων θεωρείται η αρχή της αμοιβαίας αναγνώρισης</w:t>
      </w:r>
      <w:r w:rsidR="00E5760B">
        <w:rPr>
          <w:rFonts w:cs="Arial"/>
          <w:spacing w:val="-14"/>
          <w:w w:val="80"/>
          <w:kern w:val="48"/>
        </w:rPr>
        <w:t>.</w:t>
      </w:r>
      <w:r w:rsidRPr="00A36633">
        <w:rPr>
          <w:rFonts w:cs="Arial"/>
          <w:spacing w:val="-14"/>
          <w:w w:val="80"/>
          <w:kern w:val="48"/>
        </w:rPr>
        <w:t xml:space="preserve"> αντί της εναρμόνισης,</w:t>
      </w:r>
    </w:p>
    <w:p w:rsidR="005068BE" w:rsidRDefault="00B46DFB" w:rsidP="003C0854">
      <w:pPr>
        <w:numPr>
          <w:ilvl w:val="0"/>
          <w:numId w:val="57"/>
        </w:numPr>
        <w:spacing w:after="0" w:line="220" w:lineRule="exact"/>
        <w:ind w:left="284" w:hanging="211"/>
        <w:jc w:val="both"/>
        <w:outlineLvl w:val="0"/>
        <w:rPr>
          <w:rFonts w:cs="Arial"/>
          <w:bCs/>
          <w:spacing w:val="-14"/>
          <w:w w:val="80"/>
          <w:kern w:val="48"/>
        </w:rPr>
      </w:pPr>
      <w:r w:rsidRPr="00A36633">
        <w:rPr>
          <w:rFonts w:cs="Arial"/>
          <w:spacing w:val="-14"/>
          <w:w w:val="80"/>
          <w:kern w:val="48"/>
        </w:rPr>
        <w:t xml:space="preserve">χρειάζονται δημόσιες επενδύσεις, προκειμένου να δημιουργηθεί δυνατότητα ανάπτυξης αγορών πράσινων προϊόντων (π.χ. στο ηλεκτρικό δίκτυο) αλλά και να ληφθεί </w:t>
      </w:r>
      <w:proofErr w:type="spellStart"/>
      <w:r w:rsidRPr="00A36633">
        <w:rPr>
          <w:rFonts w:cs="Arial"/>
          <w:spacing w:val="-14"/>
          <w:w w:val="80"/>
          <w:kern w:val="48"/>
        </w:rPr>
        <w:t>υπόψιν</w:t>
      </w:r>
      <w:proofErr w:type="spellEnd"/>
      <w:r w:rsidRPr="00A36633">
        <w:rPr>
          <w:rFonts w:cs="Arial"/>
          <w:spacing w:val="-14"/>
          <w:w w:val="80"/>
          <w:kern w:val="48"/>
        </w:rPr>
        <w:t xml:space="preserve"> η διαμόρφωση των τιμών, αφού με το κόστος εκπομπών του </w:t>
      </w:r>
      <w:r w:rsidRPr="00A36633">
        <w:rPr>
          <w:rFonts w:cs="Arial"/>
          <w:spacing w:val="-14"/>
          <w:w w:val="80"/>
          <w:kern w:val="48"/>
          <w:lang w:val="en-US"/>
        </w:rPr>
        <w:t>CO</w:t>
      </w:r>
      <w:r w:rsidRPr="00A36633">
        <w:rPr>
          <w:rFonts w:cs="Arial"/>
          <w:spacing w:val="-14"/>
          <w:w w:val="80"/>
          <w:kern w:val="48"/>
        </w:rPr>
        <w:t>2 να ανέρχεται σε 95 Ευρώ</w:t>
      </w:r>
      <w:r w:rsidR="00E5760B">
        <w:rPr>
          <w:rFonts w:cs="Arial"/>
          <w:spacing w:val="-14"/>
          <w:w w:val="80"/>
          <w:kern w:val="48"/>
        </w:rPr>
        <w:t>.</w:t>
      </w:r>
      <w:r w:rsidRPr="00A36633">
        <w:rPr>
          <w:rFonts w:cs="Arial"/>
          <w:spacing w:val="-14"/>
          <w:w w:val="80"/>
          <w:kern w:val="48"/>
        </w:rPr>
        <w:t xml:space="preserve"> ανά τόνο, αυτή τη στιγμή δεν μπορούμε να έχουμε φθηνή ενέργεια από ΑΠΕ.</w:t>
      </w:r>
    </w:p>
    <w:p w:rsidR="005068BE" w:rsidRDefault="005068BE" w:rsidP="005068BE">
      <w:pPr>
        <w:spacing w:after="0" w:line="220" w:lineRule="exact"/>
        <w:ind w:left="284"/>
        <w:jc w:val="both"/>
        <w:outlineLvl w:val="0"/>
        <w:rPr>
          <w:rFonts w:cs="Arial"/>
          <w:bCs/>
          <w:spacing w:val="-14"/>
          <w:w w:val="80"/>
          <w:kern w:val="48"/>
        </w:rPr>
      </w:pPr>
    </w:p>
    <w:p w:rsidR="005068BE" w:rsidRDefault="00227A6B" w:rsidP="005068BE">
      <w:pPr>
        <w:spacing w:after="0" w:line="220" w:lineRule="exact"/>
        <w:ind w:left="284"/>
        <w:jc w:val="both"/>
        <w:outlineLvl w:val="0"/>
        <w:rPr>
          <w:rFonts w:cs="Arial"/>
          <w:b/>
          <w:color w:val="0070C0"/>
          <w:spacing w:val="-14"/>
          <w:w w:val="80"/>
          <w:kern w:val="48"/>
        </w:rPr>
      </w:pPr>
      <w:r w:rsidRPr="005068BE">
        <w:rPr>
          <w:rFonts w:cs="Arial"/>
          <w:b/>
          <w:color w:val="0070C0"/>
          <w:spacing w:val="-14"/>
          <w:w w:val="80"/>
          <w:kern w:val="48"/>
        </w:rPr>
        <w:t>6.2</w:t>
      </w:r>
      <w:r w:rsidR="00EF0ACE" w:rsidRPr="005068BE">
        <w:rPr>
          <w:rFonts w:cs="Arial"/>
          <w:b/>
          <w:color w:val="0070C0"/>
          <w:spacing w:val="-14"/>
          <w:w w:val="80"/>
          <w:kern w:val="48"/>
        </w:rPr>
        <w:t xml:space="preserve"> </w:t>
      </w:r>
      <w:r w:rsidR="003C0854" w:rsidRPr="005068BE">
        <w:rPr>
          <w:rFonts w:cs="Arial"/>
          <w:b/>
          <w:color w:val="0070C0"/>
          <w:spacing w:val="-14"/>
          <w:w w:val="80"/>
          <w:kern w:val="48"/>
        </w:rPr>
        <w:t xml:space="preserve">Παρουσίαση της EKO </w:t>
      </w:r>
      <w:proofErr w:type="spellStart"/>
      <w:r w:rsidR="003C0854" w:rsidRPr="005068BE">
        <w:rPr>
          <w:rFonts w:cs="Arial"/>
          <w:b/>
          <w:color w:val="0070C0"/>
          <w:spacing w:val="-14"/>
          <w:w w:val="80"/>
          <w:kern w:val="48"/>
        </w:rPr>
        <w:t>Energy</w:t>
      </w:r>
      <w:proofErr w:type="spellEnd"/>
      <w:r w:rsidR="003C0854" w:rsidRPr="005068BE">
        <w:rPr>
          <w:rFonts w:cs="Arial"/>
          <w:b/>
          <w:color w:val="0070C0"/>
          <w:spacing w:val="-14"/>
          <w:w w:val="80"/>
          <w:kern w:val="48"/>
        </w:rPr>
        <w:t xml:space="preserve">, (Ξενοδοχείο </w:t>
      </w:r>
      <w:r w:rsidR="003C0854" w:rsidRPr="005068BE">
        <w:rPr>
          <w:rFonts w:cs="Arial"/>
          <w:b/>
          <w:color w:val="0070C0"/>
          <w:spacing w:val="-14"/>
          <w:w w:val="80"/>
          <w:kern w:val="48"/>
          <w:lang w:val="en-US"/>
        </w:rPr>
        <w:t>Hilton</w:t>
      </w:r>
      <w:r w:rsidR="003C0854" w:rsidRPr="005068BE">
        <w:rPr>
          <w:rFonts w:cs="Arial"/>
          <w:b/>
          <w:color w:val="0070C0"/>
          <w:spacing w:val="-14"/>
          <w:w w:val="80"/>
          <w:kern w:val="48"/>
        </w:rPr>
        <w:t>, Λευκωσία, 24.4.2024)</w:t>
      </w:r>
    </w:p>
    <w:p w:rsidR="005068BE" w:rsidRDefault="005068BE" w:rsidP="005068BE">
      <w:pPr>
        <w:spacing w:after="0" w:line="220" w:lineRule="exact"/>
        <w:ind w:left="284"/>
        <w:jc w:val="both"/>
        <w:outlineLvl w:val="0"/>
        <w:rPr>
          <w:rFonts w:cs="Arial"/>
          <w:bCs/>
          <w:spacing w:val="-14"/>
          <w:w w:val="80"/>
          <w:kern w:val="48"/>
        </w:rPr>
      </w:pPr>
      <w:r>
        <w:rPr>
          <w:rFonts w:cs="Arial"/>
          <w:b/>
          <w:color w:val="0070C0"/>
          <w:spacing w:val="-14"/>
          <w:w w:val="80"/>
          <w:kern w:val="48"/>
        </w:rPr>
        <w:t xml:space="preserve">      </w:t>
      </w:r>
      <w:r w:rsidR="003C0854" w:rsidRPr="00A36633">
        <w:rPr>
          <w:rFonts w:cs="Arial"/>
          <w:bCs/>
          <w:spacing w:val="-14"/>
          <w:w w:val="80"/>
          <w:kern w:val="48"/>
        </w:rPr>
        <w:t>Σε εκδήλωση που πραγματοποιήθηκε</w:t>
      </w:r>
      <w:r w:rsidR="00E5760B">
        <w:rPr>
          <w:rFonts w:cs="Arial"/>
          <w:bCs/>
          <w:spacing w:val="-14"/>
          <w:w w:val="80"/>
          <w:kern w:val="48"/>
        </w:rPr>
        <w:t>.</w:t>
      </w:r>
      <w:r w:rsidR="003C0854" w:rsidRPr="00A36633">
        <w:rPr>
          <w:rFonts w:cs="Arial"/>
          <w:bCs/>
          <w:spacing w:val="-14"/>
          <w:w w:val="80"/>
          <w:kern w:val="48"/>
        </w:rPr>
        <w:t xml:space="preserve"> την Τετάρτη 24.4. </w:t>
      </w:r>
      <w:proofErr w:type="spellStart"/>
      <w:r w:rsidR="003C0854" w:rsidRPr="00A36633">
        <w:rPr>
          <w:rFonts w:cs="Arial"/>
          <w:bCs/>
          <w:spacing w:val="-14"/>
          <w:w w:val="80"/>
          <w:kern w:val="48"/>
        </w:rPr>
        <w:t>τ.έ</w:t>
      </w:r>
      <w:proofErr w:type="spellEnd"/>
      <w:r w:rsidR="003C0854" w:rsidRPr="00A36633">
        <w:rPr>
          <w:rFonts w:cs="Arial"/>
          <w:bCs/>
          <w:spacing w:val="-14"/>
          <w:w w:val="80"/>
          <w:kern w:val="48"/>
        </w:rPr>
        <w:t xml:space="preserve">., στο ξενοδοχείο </w:t>
      </w:r>
      <w:r w:rsidR="003C0854" w:rsidRPr="00A36633">
        <w:rPr>
          <w:rFonts w:cs="Arial"/>
          <w:bCs/>
          <w:spacing w:val="-14"/>
          <w:w w:val="80"/>
          <w:kern w:val="48"/>
          <w:lang w:val="en-US"/>
        </w:rPr>
        <w:t>Hilton</w:t>
      </w:r>
      <w:r w:rsidR="003C0854" w:rsidRPr="00A36633">
        <w:rPr>
          <w:rFonts w:cs="Arial"/>
          <w:bCs/>
          <w:spacing w:val="-14"/>
          <w:w w:val="80"/>
          <w:kern w:val="48"/>
        </w:rPr>
        <w:t xml:space="preserve"> της Λευκωσίας η </w:t>
      </w:r>
      <w:proofErr w:type="spellStart"/>
      <w:r w:rsidR="003C0854" w:rsidRPr="00A36633">
        <w:rPr>
          <w:rFonts w:cs="Arial"/>
          <w:bCs/>
          <w:spacing w:val="-14"/>
          <w:w w:val="80"/>
          <w:kern w:val="48"/>
        </w:rPr>
        <w:t>HELLENiQ</w:t>
      </w:r>
      <w:proofErr w:type="spellEnd"/>
      <w:r w:rsidR="003C0854" w:rsidRPr="00A36633">
        <w:rPr>
          <w:rFonts w:cs="Arial"/>
          <w:bCs/>
          <w:spacing w:val="-14"/>
          <w:w w:val="80"/>
          <w:kern w:val="48"/>
        </w:rPr>
        <w:t xml:space="preserve"> ENERGY (πρώην ΕΛΛΗΝΙΚΑ ΠΕΤΡΕΛΑΙΑ) παρουσίασε την έναρξη λειτουργίας της EKO </w:t>
      </w:r>
      <w:proofErr w:type="spellStart"/>
      <w:r w:rsidR="003C0854" w:rsidRPr="00A36633">
        <w:rPr>
          <w:rFonts w:cs="Arial"/>
          <w:bCs/>
          <w:spacing w:val="-14"/>
          <w:w w:val="80"/>
          <w:kern w:val="48"/>
        </w:rPr>
        <w:t>Energy</w:t>
      </w:r>
      <w:proofErr w:type="spellEnd"/>
      <w:r w:rsidR="003C0854" w:rsidRPr="00A36633">
        <w:rPr>
          <w:rFonts w:cs="Arial"/>
          <w:bCs/>
          <w:spacing w:val="-14"/>
          <w:w w:val="80"/>
          <w:kern w:val="48"/>
        </w:rPr>
        <w:t>, εταιρείας</w:t>
      </w:r>
      <w:r w:rsidR="00E5760B">
        <w:rPr>
          <w:rFonts w:cs="Arial"/>
          <w:bCs/>
          <w:spacing w:val="-14"/>
          <w:w w:val="80"/>
          <w:kern w:val="48"/>
        </w:rPr>
        <w:t xml:space="preserve"> </w:t>
      </w:r>
      <w:r w:rsidR="003C0854" w:rsidRPr="00A36633">
        <w:rPr>
          <w:rFonts w:cs="Arial"/>
          <w:bCs/>
          <w:spacing w:val="-14"/>
          <w:w w:val="80"/>
          <w:kern w:val="48"/>
        </w:rPr>
        <w:t>-</w:t>
      </w:r>
      <w:r w:rsidR="00E5760B">
        <w:rPr>
          <w:rFonts w:cs="Arial"/>
          <w:bCs/>
          <w:spacing w:val="-14"/>
          <w:w w:val="80"/>
          <w:kern w:val="48"/>
        </w:rPr>
        <w:t xml:space="preserve"> </w:t>
      </w:r>
      <w:r w:rsidR="003C0854" w:rsidRPr="00A36633">
        <w:rPr>
          <w:rFonts w:cs="Arial"/>
          <w:bCs/>
          <w:spacing w:val="-14"/>
          <w:w w:val="80"/>
          <w:kern w:val="48"/>
        </w:rPr>
        <w:t xml:space="preserve">προμηθευτή πράσινης ηλεκτρικής ενέργειας στην κυπριακή αγορά, σηματοδοτώντας και επίσημα την είσοδο της ΕΚΟ στην προμήθεια ηλεκτρικής ενέργειας από ανανεώσιμες πηγές. Όπως αναφέρει η σχετική ανακοίνωση η EKO </w:t>
      </w:r>
      <w:proofErr w:type="spellStart"/>
      <w:r w:rsidR="003C0854" w:rsidRPr="00A36633">
        <w:rPr>
          <w:rFonts w:cs="Arial"/>
          <w:bCs/>
          <w:spacing w:val="-14"/>
          <w:w w:val="80"/>
          <w:kern w:val="48"/>
        </w:rPr>
        <w:t>Energy</w:t>
      </w:r>
      <w:proofErr w:type="spellEnd"/>
      <w:r w:rsidR="003C0854" w:rsidRPr="00A36633">
        <w:rPr>
          <w:rFonts w:cs="Arial"/>
          <w:bCs/>
          <w:spacing w:val="-14"/>
          <w:w w:val="80"/>
          <w:kern w:val="48"/>
        </w:rPr>
        <w:t xml:space="preserve">, η οποία έχει ήδη ξεκινήσει τις εμπορικές δραστηριότητές της, επεκτείνει την ήδη πετυχημένη παρουσία του Ομίλου στη Κύπρο, στοχεύοντας να καλύψει το σύνολο των ενεργειακών αναγκών επιλεγμένων εμπορικών και βιομηχανικών καταναλωτών, ως ο πρώτος ολοκληρωμένος και καθετοποιημένος ενεργειακός </w:t>
      </w:r>
      <w:proofErr w:type="spellStart"/>
      <w:r w:rsidR="003C0854" w:rsidRPr="00A36633">
        <w:rPr>
          <w:rFonts w:cs="Arial"/>
          <w:bCs/>
          <w:spacing w:val="-14"/>
          <w:w w:val="80"/>
          <w:kern w:val="48"/>
        </w:rPr>
        <w:t>πάροχος</w:t>
      </w:r>
      <w:proofErr w:type="spellEnd"/>
      <w:r w:rsidR="003C0854" w:rsidRPr="00A36633">
        <w:rPr>
          <w:rFonts w:cs="Arial"/>
          <w:bCs/>
          <w:spacing w:val="-14"/>
          <w:w w:val="80"/>
          <w:kern w:val="48"/>
        </w:rPr>
        <w:t xml:space="preserve"> στην Κύπρο, αξιοποιώντας την τεχ</w:t>
      </w:r>
      <w:r>
        <w:rPr>
          <w:rFonts w:cs="Arial"/>
          <w:bCs/>
          <w:spacing w:val="-14"/>
          <w:w w:val="80"/>
          <w:kern w:val="48"/>
        </w:rPr>
        <w:t>νογνωσία και την αξιοπιστία της.</w:t>
      </w:r>
      <w:r w:rsidR="003C0854" w:rsidRPr="00A36633">
        <w:rPr>
          <w:rFonts w:cs="Arial"/>
          <w:bCs/>
          <w:spacing w:val="-14"/>
          <w:w w:val="80"/>
          <w:kern w:val="48"/>
        </w:rPr>
        <w:t xml:space="preserve"> </w:t>
      </w:r>
    </w:p>
    <w:p w:rsidR="005068BE" w:rsidRDefault="005068BE" w:rsidP="005068BE">
      <w:pPr>
        <w:spacing w:after="0" w:line="220" w:lineRule="exact"/>
        <w:ind w:left="284"/>
        <w:jc w:val="both"/>
        <w:outlineLvl w:val="0"/>
        <w:rPr>
          <w:rFonts w:cs="Arial"/>
          <w:bCs/>
          <w:spacing w:val="-14"/>
          <w:w w:val="80"/>
          <w:kern w:val="48"/>
        </w:rPr>
      </w:pPr>
      <w:r>
        <w:rPr>
          <w:rFonts w:cs="Arial"/>
          <w:bCs/>
          <w:spacing w:val="-14"/>
          <w:w w:val="80"/>
          <w:kern w:val="48"/>
        </w:rPr>
        <w:lastRenderedPageBreak/>
        <w:t xml:space="preserve">      </w:t>
      </w:r>
      <w:r w:rsidR="003C0854" w:rsidRPr="00A36633">
        <w:rPr>
          <w:rFonts w:cs="Arial"/>
          <w:bCs/>
          <w:spacing w:val="-14"/>
          <w:w w:val="80"/>
          <w:kern w:val="48"/>
        </w:rPr>
        <w:t xml:space="preserve"> Στην εν λόγω εκδήλωση η </w:t>
      </w:r>
      <w:proofErr w:type="spellStart"/>
      <w:r w:rsidR="003C0854" w:rsidRPr="00A36633">
        <w:rPr>
          <w:rFonts w:cs="Arial"/>
          <w:bCs/>
          <w:spacing w:val="-14"/>
          <w:w w:val="80"/>
          <w:kern w:val="48"/>
        </w:rPr>
        <w:t>HELLENiQ</w:t>
      </w:r>
      <w:proofErr w:type="spellEnd"/>
      <w:r w:rsidR="003C0854" w:rsidRPr="00A36633">
        <w:rPr>
          <w:rFonts w:cs="Arial"/>
          <w:bCs/>
          <w:spacing w:val="-14"/>
          <w:w w:val="80"/>
          <w:kern w:val="48"/>
        </w:rPr>
        <w:t xml:space="preserve"> ENERGY παρουσίασε επίσης τα αποτελέσματα του στρατηγικού της σχεδίου «VISION 2025» για την ενεργειακή μετάβαση, στο πλαίσιο του οποίου εκσυγχρονίζει τις παραδοσιακές δραστηριότητές της στη διύλιση και την εμπορία καυσίμων καθώς και τα επιχειρηματικά της σχέδια, με τα οποία φιλοδοξεί να συμβάλει ουσιαστικά στην επίτευξη των στόχων για μείωση του ανθρακικού αποτυπώματος και βελτίωση της ενεργειακής ασφάλειας και αυτονομίας της Κύπρου. Στο πλαίσιο αυτό, έχει συνάψει έως σήμερα συμβόλαια συνολικής κατανάλωσης 60 </w:t>
      </w:r>
      <w:proofErr w:type="spellStart"/>
      <w:r w:rsidR="003C0854" w:rsidRPr="00A36633">
        <w:rPr>
          <w:rFonts w:cs="Arial"/>
          <w:bCs/>
          <w:spacing w:val="-14"/>
          <w:w w:val="80"/>
          <w:kern w:val="48"/>
        </w:rPr>
        <w:t>GWh</w:t>
      </w:r>
      <w:proofErr w:type="spellEnd"/>
      <w:r w:rsidR="003C0854" w:rsidRPr="00A36633">
        <w:rPr>
          <w:rFonts w:cs="Arial"/>
          <w:bCs/>
          <w:spacing w:val="-14"/>
          <w:w w:val="80"/>
          <w:kern w:val="48"/>
        </w:rPr>
        <w:t xml:space="preserve"> και επιδιώκει τη συνέχιση της δυναμικής ανάπτυξής της, συμβάλλοντας στη διαμόρφωση μιας πιο ανταγωνιστικής αγοράς. Βασικός άξονας της στρατηγικής της είναι η καθετοποίηση των δραστηριοτήτων με ιδιόκτητα πάρκα, προσφέροντας ευελιξία, σωστή ενεργειακή διαχείριση και ολοκληρωμένες ενεργειακές λύσεις στους καταναλωτές. Ειδικότερα, η λειτουργία της ΕΚΟ </w:t>
      </w:r>
      <w:proofErr w:type="spellStart"/>
      <w:r w:rsidR="003C0854" w:rsidRPr="00A36633">
        <w:rPr>
          <w:rFonts w:cs="Arial"/>
          <w:bCs/>
          <w:spacing w:val="-14"/>
          <w:w w:val="80"/>
          <w:kern w:val="48"/>
        </w:rPr>
        <w:t>Εnergy</w:t>
      </w:r>
      <w:proofErr w:type="spellEnd"/>
      <w:r w:rsidR="003C0854" w:rsidRPr="00A36633">
        <w:rPr>
          <w:rFonts w:cs="Arial"/>
          <w:bCs/>
          <w:spacing w:val="-14"/>
          <w:w w:val="80"/>
          <w:kern w:val="48"/>
        </w:rPr>
        <w:t xml:space="preserve"> είναι απόλυτα συνεπής με τη μετάβαση σε καθαρότερες μορφές ενέργειας.</w:t>
      </w:r>
    </w:p>
    <w:p w:rsidR="005068BE" w:rsidRDefault="005068BE" w:rsidP="005068BE">
      <w:pPr>
        <w:spacing w:after="0" w:line="220" w:lineRule="exact"/>
        <w:ind w:left="284"/>
        <w:jc w:val="both"/>
        <w:outlineLvl w:val="0"/>
        <w:rPr>
          <w:rFonts w:cs="Arial"/>
          <w:bCs/>
          <w:spacing w:val="-14"/>
          <w:w w:val="80"/>
          <w:kern w:val="48"/>
        </w:rPr>
      </w:pPr>
      <w:r>
        <w:rPr>
          <w:rFonts w:cs="Arial"/>
          <w:bCs/>
          <w:spacing w:val="-14"/>
          <w:w w:val="80"/>
          <w:kern w:val="48"/>
        </w:rPr>
        <w:t xml:space="preserve">      </w:t>
      </w:r>
      <w:r w:rsidR="003C0854" w:rsidRPr="00A36633">
        <w:rPr>
          <w:rFonts w:cs="Arial"/>
          <w:bCs/>
          <w:spacing w:val="-14"/>
          <w:w w:val="80"/>
          <w:kern w:val="48"/>
        </w:rPr>
        <w:t>Τη νέα εταιρεία</w:t>
      </w:r>
      <w:r w:rsidR="00E5760B">
        <w:rPr>
          <w:rFonts w:cs="Arial"/>
          <w:bCs/>
          <w:spacing w:val="-14"/>
          <w:w w:val="80"/>
          <w:kern w:val="48"/>
        </w:rPr>
        <w:t>,</w:t>
      </w:r>
      <w:r w:rsidR="003C0854" w:rsidRPr="00A36633">
        <w:rPr>
          <w:rFonts w:cs="Arial"/>
          <w:bCs/>
          <w:spacing w:val="-14"/>
          <w:w w:val="80"/>
          <w:kern w:val="48"/>
        </w:rPr>
        <w:t xml:space="preserve"> EKO </w:t>
      </w:r>
      <w:proofErr w:type="spellStart"/>
      <w:r w:rsidR="003C0854" w:rsidRPr="00A36633">
        <w:rPr>
          <w:rFonts w:cs="Arial"/>
          <w:bCs/>
          <w:spacing w:val="-14"/>
          <w:w w:val="80"/>
          <w:kern w:val="48"/>
        </w:rPr>
        <w:t>Energy</w:t>
      </w:r>
      <w:proofErr w:type="spellEnd"/>
      <w:r w:rsidR="00E5760B">
        <w:rPr>
          <w:rFonts w:cs="Arial"/>
          <w:bCs/>
          <w:spacing w:val="-14"/>
          <w:w w:val="80"/>
          <w:kern w:val="48"/>
        </w:rPr>
        <w:t>,</w:t>
      </w:r>
      <w:r w:rsidR="003C0854" w:rsidRPr="00A36633">
        <w:rPr>
          <w:rFonts w:cs="Arial"/>
          <w:bCs/>
          <w:spacing w:val="-14"/>
          <w:w w:val="80"/>
          <w:kern w:val="48"/>
        </w:rPr>
        <w:t xml:space="preserve"> παρουσίασε ο Δ/νων Σύμβουλος της </w:t>
      </w:r>
      <w:proofErr w:type="spellStart"/>
      <w:r w:rsidR="003C0854" w:rsidRPr="00A36633">
        <w:rPr>
          <w:rFonts w:cs="Arial"/>
          <w:bCs/>
          <w:spacing w:val="-14"/>
          <w:w w:val="80"/>
          <w:kern w:val="48"/>
        </w:rPr>
        <w:t>Helleniq</w:t>
      </w:r>
      <w:proofErr w:type="spellEnd"/>
      <w:r w:rsidR="003C0854" w:rsidRPr="00A36633">
        <w:rPr>
          <w:rFonts w:cs="Arial"/>
          <w:bCs/>
          <w:spacing w:val="-14"/>
          <w:w w:val="80"/>
          <w:kern w:val="48"/>
        </w:rPr>
        <w:t xml:space="preserve"> </w:t>
      </w:r>
      <w:proofErr w:type="spellStart"/>
      <w:r w:rsidR="003C0854" w:rsidRPr="00A36633">
        <w:rPr>
          <w:rFonts w:cs="Arial"/>
          <w:bCs/>
          <w:spacing w:val="-14"/>
          <w:w w:val="80"/>
          <w:kern w:val="48"/>
        </w:rPr>
        <w:t>Energy</w:t>
      </w:r>
      <w:proofErr w:type="spellEnd"/>
      <w:r w:rsidR="003C0854" w:rsidRPr="00A36633">
        <w:rPr>
          <w:rFonts w:cs="Arial"/>
          <w:bCs/>
          <w:spacing w:val="-14"/>
          <w:w w:val="80"/>
          <w:kern w:val="48"/>
        </w:rPr>
        <w:t xml:space="preserve"> κ. Α. </w:t>
      </w:r>
      <w:proofErr w:type="spellStart"/>
      <w:r w:rsidR="003C0854" w:rsidRPr="00A36633">
        <w:rPr>
          <w:rFonts w:cs="Arial"/>
          <w:bCs/>
          <w:spacing w:val="-14"/>
          <w:w w:val="80"/>
          <w:kern w:val="48"/>
        </w:rPr>
        <w:t>Σιάμισης</w:t>
      </w:r>
      <w:proofErr w:type="spellEnd"/>
      <w:r w:rsidR="003C0854" w:rsidRPr="00A36633">
        <w:rPr>
          <w:rFonts w:cs="Arial"/>
          <w:bCs/>
          <w:spacing w:val="-14"/>
          <w:w w:val="80"/>
          <w:kern w:val="48"/>
        </w:rPr>
        <w:t>. Ομιλίες εκφώνησαν</w:t>
      </w:r>
      <w:r w:rsidR="00E5760B">
        <w:rPr>
          <w:rFonts w:cs="Arial"/>
          <w:bCs/>
          <w:spacing w:val="-14"/>
          <w:w w:val="80"/>
          <w:kern w:val="48"/>
        </w:rPr>
        <w:t>,</w:t>
      </w:r>
      <w:r w:rsidR="003C0854" w:rsidRPr="00A36633">
        <w:rPr>
          <w:rFonts w:cs="Arial"/>
          <w:bCs/>
          <w:spacing w:val="-14"/>
          <w:w w:val="80"/>
          <w:kern w:val="48"/>
        </w:rPr>
        <w:t xml:space="preserve"> </w:t>
      </w:r>
      <w:r w:rsidR="00E5760B">
        <w:rPr>
          <w:rFonts w:cs="Arial"/>
          <w:bCs/>
          <w:spacing w:val="-14"/>
          <w:w w:val="80"/>
          <w:kern w:val="48"/>
        </w:rPr>
        <w:t>επίσης,</w:t>
      </w:r>
      <w:r w:rsidR="003C0854" w:rsidRPr="00A36633">
        <w:rPr>
          <w:rFonts w:cs="Arial"/>
          <w:bCs/>
          <w:spacing w:val="-14"/>
          <w:w w:val="80"/>
          <w:kern w:val="48"/>
        </w:rPr>
        <w:t xml:space="preserve"> ο Δ/νων Σύμβουλος της ΕΚΟ Κύπρου κ. Γ. </w:t>
      </w:r>
      <w:proofErr w:type="spellStart"/>
      <w:r w:rsidR="003C0854" w:rsidRPr="00A36633">
        <w:rPr>
          <w:rFonts w:cs="Arial"/>
          <w:bCs/>
          <w:spacing w:val="-14"/>
          <w:w w:val="80"/>
          <w:kern w:val="48"/>
        </w:rPr>
        <w:t>Γρηγοράς</w:t>
      </w:r>
      <w:proofErr w:type="spellEnd"/>
      <w:r w:rsidR="003C0854" w:rsidRPr="00A36633">
        <w:rPr>
          <w:rFonts w:cs="Arial"/>
          <w:bCs/>
          <w:spacing w:val="-14"/>
          <w:w w:val="80"/>
          <w:kern w:val="48"/>
        </w:rPr>
        <w:t xml:space="preserve"> και ο Πρόεδρος του Δ.Σ. της </w:t>
      </w:r>
      <w:proofErr w:type="spellStart"/>
      <w:r w:rsidR="003C0854" w:rsidRPr="00A36633">
        <w:rPr>
          <w:rFonts w:cs="Arial"/>
          <w:bCs/>
          <w:spacing w:val="-14"/>
          <w:w w:val="80"/>
          <w:kern w:val="48"/>
        </w:rPr>
        <w:t>Helleniq</w:t>
      </w:r>
      <w:proofErr w:type="spellEnd"/>
      <w:r w:rsidR="003C0854" w:rsidRPr="00A36633">
        <w:rPr>
          <w:rFonts w:cs="Arial"/>
          <w:bCs/>
          <w:spacing w:val="-14"/>
          <w:w w:val="80"/>
          <w:kern w:val="48"/>
        </w:rPr>
        <w:t xml:space="preserve"> </w:t>
      </w:r>
      <w:proofErr w:type="spellStart"/>
      <w:r w:rsidR="003C0854" w:rsidRPr="00A36633">
        <w:rPr>
          <w:rFonts w:cs="Arial"/>
          <w:bCs/>
          <w:spacing w:val="-14"/>
          <w:w w:val="80"/>
          <w:kern w:val="48"/>
        </w:rPr>
        <w:t>Energy</w:t>
      </w:r>
      <w:proofErr w:type="spellEnd"/>
      <w:r w:rsidR="003C0854" w:rsidRPr="00A36633">
        <w:rPr>
          <w:rFonts w:cs="Arial"/>
          <w:bCs/>
          <w:spacing w:val="-14"/>
          <w:w w:val="80"/>
          <w:kern w:val="48"/>
        </w:rPr>
        <w:t xml:space="preserve"> κ. Ι. </w:t>
      </w:r>
      <w:proofErr w:type="spellStart"/>
      <w:r w:rsidR="003C0854" w:rsidRPr="00A36633">
        <w:rPr>
          <w:rFonts w:cs="Arial"/>
          <w:bCs/>
          <w:spacing w:val="-14"/>
          <w:w w:val="80"/>
          <w:kern w:val="48"/>
        </w:rPr>
        <w:t>Παπαθανασίου</w:t>
      </w:r>
      <w:proofErr w:type="spellEnd"/>
      <w:r w:rsidR="003C0854" w:rsidRPr="00A36633">
        <w:rPr>
          <w:rFonts w:cs="Arial"/>
          <w:bCs/>
          <w:spacing w:val="-14"/>
          <w:w w:val="80"/>
          <w:kern w:val="48"/>
        </w:rPr>
        <w:t>, ενώ χαιρετισμό απηύθυνε και ο Πρόεδρος της κ/ Δημοκρατίας κ. Ν. Χριστοδουλίδης. Παρόντες στην παρουσίαση ήταν</w:t>
      </w:r>
      <w:r w:rsidR="00E5760B">
        <w:rPr>
          <w:rFonts w:cs="Arial"/>
          <w:bCs/>
          <w:spacing w:val="-14"/>
          <w:w w:val="80"/>
          <w:kern w:val="48"/>
        </w:rPr>
        <w:t>,</w:t>
      </w:r>
      <w:r w:rsidR="003C0854" w:rsidRPr="00A36633">
        <w:rPr>
          <w:rFonts w:cs="Arial"/>
          <w:bCs/>
          <w:spacing w:val="-14"/>
          <w:w w:val="80"/>
          <w:kern w:val="48"/>
        </w:rPr>
        <w:t xml:space="preserve"> εκτός των μελών του Δ.Σ. και της Διοίκησης της </w:t>
      </w:r>
      <w:proofErr w:type="spellStart"/>
      <w:r w:rsidR="003C0854" w:rsidRPr="00A36633">
        <w:rPr>
          <w:rFonts w:cs="Arial"/>
          <w:bCs/>
          <w:spacing w:val="-14"/>
          <w:w w:val="80"/>
          <w:kern w:val="48"/>
        </w:rPr>
        <w:t>HELLENiQ</w:t>
      </w:r>
      <w:proofErr w:type="spellEnd"/>
      <w:r w:rsidR="003C0854" w:rsidRPr="00A36633">
        <w:rPr>
          <w:rFonts w:cs="Arial"/>
          <w:bCs/>
          <w:spacing w:val="-14"/>
          <w:w w:val="80"/>
          <w:kern w:val="48"/>
        </w:rPr>
        <w:t xml:space="preserve"> ENERGY και στελεχών τη</w:t>
      </w:r>
      <w:r w:rsidR="00E5760B">
        <w:rPr>
          <w:rFonts w:cs="Arial"/>
          <w:bCs/>
          <w:spacing w:val="-14"/>
          <w:w w:val="80"/>
          <w:kern w:val="48"/>
        </w:rPr>
        <w:t>ς ΕΚΟ Κύπρου, εκπρόσωποι της κ/κυβέρνησης και του κ/</w:t>
      </w:r>
      <w:r w:rsidR="003C0854" w:rsidRPr="00A36633">
        <w:rPr>
          <w:rFonts w:cs="Arial"/>
          <w:bCs/>
          <w:spacing w:val="-14"/>
          <w:w w:val="80"/>
          <w:kern w:val="48"/>
        </w:rPr>
        <w:t xml:space="preserve">επιχειρηματικού κόσμου. </w:t>
      </w:r>
    </w:p>
    <w:p w:rsidR="005068BE" w:rsidRDefault="005068BE" w:rsidP="005068BE">
      <w:pPr>
        <w:spacing w:after="0" w:line="220" w:lineRule="exact"/>
        <w:ind w:left="284"/>
        <w:jc w:val="both"/>
        <w:outlineLvl w:val="0"/>
        <w:rPr>
          <w:rFonts w:cs="Arial"/>
          <w:bCs/>
          <w:spacing w:val="-14"/>
          <w:w w:val="80"/>
          <w:kern w:val="48"/>
        </w:rPr>
      </w:pPr>
      <w:r>
        <w:rPr>
          <w:rFonts w:cs="Arial"/>
          <w:bCs/>
          <w:spacing w:val="-14"/>
          <w:w w:val="80"/>
          <w:kern w:val="48"/>
        </w:rPr>
        <w:t xml:space="preserve">      </w:t>
      </w:r>
      <w:r w:rsidR="003C0854" w:rsidRPr="00A36633">
        <w:rPr>
          <w:rFonts w:cs="Arial"/>
          <w:bCs/>
          <w:spacing w:val="-14"/>
          <w:w w:val="80"/>
          <w:kern w:val="48"/>
        </w:rPr>
        <w:t>Στην παρουσίασή του</w:t>
      </w:r>
      <w:r w:rsidR="00E5760B">
        <w:rPr>
          <w:rFonts w:cs="Arial"/>
          <w:bCs/>
          <w:spacing w:val="-14"/>
          <w:w w:val="80"/>
          <w:kern w:val="48"/>
        </w:rPr>
        <w:t>,</w:t>
      </w:r>
      <w:r w:rsidR="003C0854" w:rsidRPr="00A36633">
        <w:rPr>
          <w:rFonts w:cs="Arial"/>
          <w:bCs/>
          <w:spacing w:val="-14"/>
          <w:w w:val="80"/>
          <w:kern w:val="48"/>
        </w:rPr>
        <w:t xml:space="preserve"> ο Δ/νων Σύμβουλος της </w:t>
      </w:r>
      <w:proofErr w:type="spellStart"/>
      <w:r w:rsidR="003C0854" w:rsidRPr="00A36633">
        <w:rPr>
          <w:rFonts w:cs="Arial"/>
          <w:bCs/>
          <w:spacing w:val="-14"/>
          <w:w w:val="80"/>
          <w:kern w:val="48"/>
        </w:rPr>
        <w:t>HELLENiQ</w:t>
      </w:r>
      <w:proofErr w:type="spellEnd"/>
      <w:r w:rsidR="003C0854" w:rsidRPr="00A36633">
        <w:rPr>
          <w:rFonts w:cs="Arial"/>
          <w:bCs/>
          <w:spacing w:val="-14"/>
          <w:w w:val="80"/>
          <w:kern w:val="48"/>
        </w:rPr>
        <w:t xml:space="preserve"> ENERGY</w:t>
      </w:r>
      <w:r w:rsidR="00E5760B">
        <w:rPr>
          <w:rFonts w:cs="Arial"/>
          <w:bCs/>
          <w:spacing w:val="-14"/>
          <w:w w:val="80"/>
          <w:kern w:val="48"/>
        </w:rPr>
        <w:t>,</w:t>
      </w:r>
      <w:r w:rsidR="003C0854" w:rsidRPr="00A36633">
        <w:rPr>
          <w:rFonts w:cs="Arial"/>
          <w:bCs/>
          <w:spacing w:val="-14"/>
          <w:w w:val="80"/>
          <w:kern w:val="48"/>
        </w:rPr>
        <w:t xml:space="preserve"> κ. Ανδρέας </w:t>
      </w:r>
      <w:proofErr w:type="spellStart"/>
      <w:r w:rsidR="003C0854" w:rsidRPr="00A36633">
        <w:rPr>
          <w:rFonts w:cs="Arial"/>
          <w:bCs/>
          <w:spacing w:val="-14"/>
          <w:w w:val="80"/>
          <w:kern w:val="48"/>
        </w:rPr>
        <w:t>Σιάμισιης</w:t>
      </w:r>
      <w:proofErr w:type="spellEnd"/>
      <w:r w:rsidR="003C0854" w:rsidRPr="00A36633">
        <w:rPr>
          <w:rFonts w:cs="Arial"/>
          <w:bCs/>
          <w:spacing w:val="-14"/>
          <w:w w:val="80"/>
          <w:kern w:val="48"/>
        </w:rPr>
        <w:t xml:space="preserve">, τόνισε ότι η δημιουργία της EKO </w:t>
      </w:r>
      <w:proofErr w:type="spellStart"/>
      <w:r w:rsidR="003C0854" w:rsidRPr="00A36633">
        <w:rPr>
          <w:rFonts w:cs="Arial"/>
          <w:bCs/>
          <w:spacing w:val="-14"/>
          <w:w w:val="80"/>
          <w:kern w:val="48"/>
        </w:rPr>
        <w:t>Energy</w:t>
      </w:r>
      <w:proofErr w:type="spellEnd"/>
      <w:r w:rsidR="003C0854" w:rsidRPr="00A36633">
        <w:rPr>
          <w:rFonts w:cs="Arial"/>
          <w:bCs/>
          <w:spacing w:val="-14"/>
          <w:w w:val="80"/>
          <w:kern w:val="48"/>
        </w:rPr>
        <w:t xml:space="preserve"> αποτελεί ορόσημο για την εταιρεία, καθώς στοχεύει να την καταστήσει έναν ολοκληρωμένο και καθετοποιημένο </w:t>
      </w:r>
      <w:proofErr w:type="spellStart"/>
      <w:r w:rsidR="003C0854" w:rsidRPr="00A36633">
        <w:rPr>
          <w:rFonts w:cs="Arial"/>
          <w:bCs/>
          <w:spacing w:val="-14"/>
          <w:w w:val="80"/>
          <w:kern w:val="48"/>
        </w:rPr>
        <w:t>πάροχο</w:t>
      </w:r>
      <w:proofErr w:type="spellEnd"/>
      <w:r w:rsidR="003C0854" w:rsidRPr="00A36633">
        <w:rPr>
          <w:rFonts w:cs="Arial"/>
          <w:bCs/>
          <w:spacing w:val="-14"/>
          <w:w w:val="80"/>
          <w:kern w:val="48"/>
        </w:rPr>
        <w:t xml:space="preserve"> ενεργειακών προϊόντων και λύσεων στην Κύπρο. Υπογράμμισε ότι η βελτίωση της ανταγωνιστικότητας στην αγορά ενέργειας θα έχει ορατά οφέλη για τους καταναλωτές, ενώ ταυτόχρονα η δημιουργία εξειδικευμένων θέσεων εργασίας δημιουργεί προστιθέμενη αξία για τον τόπο. Συμπλήρωσε δε</w:t>
      </w:r>
      <w:r w:rsidR="00E5760B">
        <w:rPr>
          <w:rFonts w:cs="Arial"/>
          <w:bCs/>
          <w:spacing w:val="-14"/>
          <w:w w:val="80"/>
          <w:kern w:val="48"/>
        </w:rPr>
        <w:t>,</w:t>
      </w:r>
      <w:r w:rsidR="003C0854" w:rsidRPr="00A36633">
        <w:rPr>
          <w:rFonts w:cs="Arial"/>
          <w:bCs/>
          <w:spacing w:val="-14"/>
          <w:w w:val="80"/>
          <w:kern w:val="48"/>
        </w:rPr>
        <w:t xml:space="preserve"> ότι μετά την Κύπρο, όπου υπάρχει ήδη μια σημαντική παρουσία, τα σχέδια της ΕΚΟ συμπεριλαμβάνουν </w:t>
      </w:r>
      <w:proofErr w:type="spellStart"/>
      <w:r w:rsidR="003C0854" w:rsidRPr="00A36633">
        <w:rPr>
          <w:rFonts w:cs="Arial"/>
          <w:bCs/>
          <w:spacing w:val="-14"/>
          <w:w w:val="80"/>
          <w:kern w:val="48"/>
        </w:rPr>
        <w:t>στοχευμένες</w:t>
      </w:r>
      <w:proofErr w:type="spellEnd"/>
      <w:r w:rsidR="003C0854" w:rsidRPr="00A36633">
        <w:rPr>
          <w:rFonts w:cs="Arial"/>
          <w:bCs/>
          <w:spacing w:val="-14"/>
          <w:w w:val="80"/>
          <w:kern w:val="48"/>
        </w:rPr>
        <w:t xml:space="preserve"> επενδύσεις και σε άλλες αγορές του εξωτερικού, με έμφαση στη νέα ενέργεια και στις ΑΠΕ.</w:t>
      </w:r>
    </w:p>
    <w:p w:rsidR="005068BE" w:rsidRDefault="005068BE" w:rsidP="005068BE">
      <w:pPr>
        <w:spacing w:after="0" w:line="220" w:lineRule="exact"/>
        <w:ind w:left="284"/>
        <w:jc w:val="both"/>
        <w:outlineLvl w:val="0"/>
        <w:rPr>
          <w:rFonts w:cs="Arial"/>
          <w:bCs/>
          <w:spacing w:val="-14"/>
          <w:w w:val="80"/>
          <w:kern w:val="48"/>
        </w:rPr>
      </w:pPr>
      <w:r>
        <w:rPr>
          <w:rFonts w:cs="Arial"/>
          <w:bCs/>
          <w:spacing w:val="-14"/>
          <w:w w:val="80"/>
          <w:kern w:val="48"/>
        </w:rPr>
        <w:t xml:space="preserve">      </w:t>
      </w:r>
      <w:r w:rsidR="003C0854" w:rsidRPr="00A36633">
        <w:rPr>
          <w:rFonts w:cs="Arial"/>
          <w:bCs/>
          <w:spacing w:val="-14"/>
          <w:w w:val="80"/>
          <w:kern w:val="48"/>
        </w:rPr>
        <w:t>Ο κ. Χριστοδουλίδης στον χαιρετισμό το</w:t>
      </w:r>
      <w:r>
        <w:rPr>
          <w:rFonts w:cs="Arial"/>
          <w:bCs/>
          <w:spacing w:val="-14"/>
          <w:w w:val="80"/>
          <w:kern w:val="48"/>
        </w:rPr>
        <w:t xml:space="preserve">υ, μεταξύ άλλων, επεσήμανε ότι </w:t>
      </w:r>
    </w:p>
    <w:p w:rsidR="005068BE" w:rsidRDefault="005068BE" w:rsidP="005068BE">
      <w:pPr>
        <w:spacing w:after="0" w:line="220" w:lineRule="exact"/>
        <w:ind w:left="284"/>
        <w:jc w:val="both"/>
        <w:outlineLvl w:val="0"/>
        <w:rPr>
          <w:rFonts w:cs="Arial"/>
          <w:bCs/>
          <w:spacing w:val="-14"/>
          <w:w w:val="80"/>
          <w:kern w:val="48"/>
        </w:rPr>
      </w:pPr>
      <w:r>
        <w:rPr>
          <w:rFonts w:cs="Arial"/>
          <w:bCs/>
          <w:spacing w:val="-14"/>
          <w:w w:val="80"/>
          <w:kern w:val="48"/>
        </w:rPr>
        <w:t xml:space="preserve">      </w:t>
      </w:r>
      <w:r w:rsidR="003C0854" w:rsidRPr="00A36633">
        <w:rPr>
          <w:rFonts w:cs="Arial"/>
          <w:bCs/>
          <w:spacing w:val="-14"/>
          <w:w w:val="80"/>
          <w:kern w:val="48"/>
        </w:rPr>
        <w:t>α) η Κυπριακή Δημοκρατία είναι το μόνο ενεργειακά απομονωμένο κράτος μέλος της ΕΕ και κατά συνέπεια αποτελεί άμεση ανάγκη η αντιμετώπιση της πρόκλησης αυτής καθώς και όσων αφορούν στην ενέργεια και σχετίζονται με το μέλλον της χώρας και την ενίσχυση της ανθεκτικότητας κα</w:t>
      </w:r>
      <w:r w:rsidR="00E5760B">
        <w:rPr>
          <w:rFonts w:cs="Arial"/>
          <w:bCs/>
          <w:spacing w:val="-14"/>
          <w:w w:val="80"/>
          <w:kern w:val="48"/>
        </w:rPr>
        <w:t>ι της ανταγωνιστικότητας της κ/</w:t>
      </w:r>
      <w:r w:rsidR="003C0854" w:rsidRPr="00A36633">
        <w:rPr>
          <w:rFonts w:cs="Arial"/>
          <w:bCs/>
          <w:spacing w:val="-14"/>
          <w:w w:val="80"/>
          <w:kern w:val="48"/>
        </w:rPr>
        <w:t>οικονομίας,</w:t>
      </w:r>
    </w:p>
    <w:p w:rsidR="005068BE" w:rsidRDefault="005068BE" w:rsidP="005068BE">
      <w:pPr>
        <w:spacing w:after="0" w:line="220" w:lineRule="exact"/>
        <w:ind w:left="284"/>
        <w:jc w:val="both"/>
        <w:outlineLvl w:val="0"/>
        <w:rPr>
          <w:rFonts w:cs="Arial"/>
          <w:bCs/>
          <w:spacing w:val="-14"/>
          <w:w w:val="80"/>
          <w:kern w:val="48"/>
        </w:rPr>
      </w:pPr>
      <w:r>
        <w:rPr>
          <w:rFonts w:cs="Arial"/>
          <w:bCs/>
          <w:spacing w:val="-14"/>
          <w:w w:val="80"/>
          <w:kern w:val="48"/>
        </w:rPr>
        <w:t xml:space="preserve">      </w:t>
      </w:r>
      <w:r w:rsidR="003C0854" w:rsidRPr="00A36633">
        <w:rPr>
          <w:rFonts w:cs="Arial"/>
          <w:bCs/>
          <w:spacing w:val="-14"/>
          <w:w w:val="80"/>
          <w:kern w:val="48"/>
        </w:rPr>
        <w:t xml:space="preserve">β) η </w:t>
      </w:r>
      <w:r w:rsidR="00333D20" w:rsidRPr="00A36633">
        <w:rPr>
          <w:rFonts w:cs="Arial"/>
          <w:bCs/>
          <w:spacing w:val="-14"/>
          <w:w w:val="80"/>
          <w:kern w:val="48"/>
        </w:rPr>
        <w:t>κ/</w:t>
      </w:r>
      <w:r w:rsidR="003C0854" w:rsidRPr="00A36633">
        <w:rPr>
          <w:rFonts w:cs="Arial"/>
          <w:bCs/>
          <w:spacing w:val="-14"/>
          <w:w w:val="80"/>
          <w:kern w:val="48"/>
        </w:rPr>
        <w:t xml:space="preserve">κυβέρνηση θεωρεί τον τομέα της ενέργειας ως υψίστη προτεραιότητα, λαμβάνοντας </w:t>
      </w:r>
      <w:proofErr w:type="spellStart"/>
      <w:r w:rsidR="003C0854" w:rsidRPr="00A36633">
        <w:rPr>
          <w:rFonts w:cs="Arial"/>
          <w:bCs/>
          <w:spacing w:val="-14"/>
          <w:w w:val="80"/>
          <w:kern w:val="48"/>
        </w:rPr>
        <w:t>υπόψιν</w:t>
      </w:r>
      <w:proofErr w:type="spellEnd"/>
      <w:r w:rsidR="003C0854" w:rsidRPr="00A36633">
        <w:rPr>
          <w:rFonts w:cs="Arial"/>
          <w:bCs/>
          <w:spacing w:val="-14"/>
          <w:w w:val="80"/>
          <w:kern w:val="48"/>
        </w:rPr>
        <w:t xml:space="preserve"> την επίπτωσή του στη λειτουργία του κράτους, των επιχειρήσεων και των νοικοκυριών, με μακροπρόθεσμο στόχο</w:t>
      </w:r>
      <w:r w:rsidR="00E5760B">
        <w:rPr>
          <w:rFonts w:cs="Arial"/>
          <w:bCs/>
          <w:spacing w:val="-14"/>
          <w:w w:val="80"/>
          <w:kern w:val="48"/>
        </w:rPr>
        <w:t>,</w:t>
      </w:r>
      <w:r w:rsidR="003C0854" w:rsidRPr="00A36633">
        <w:rPr>
          <w:rFonts w:cs="Arial"/>
          <w:bCs/>
          <w:spacing w:val="-14"/>
          <w:w w:val="80"/>
          <w:kern w:val="48"/>
        </w:rPr>
        <w:t xml:space="preserve"> την πράσινη μετάβαση και στρατηγική επιδίωξη</w:t>
      </w:r>
      <w:r w:rsidR="00E5760B">
        <w:rPr>
          <w:rFonts w:cs="Arial"/>
          <w:bCs/>
          <w:spacing w:val="-14"/>
          <w:w w:val="80"/>
          <w:kern w:val="48"/>
        </w:rPr>
        <w:t>,</w:t>
      </w:r>
      <w:r w:rsidR="003C0854" w:rsidRPr="00A36633">
        <w:rPr>
          <w:rFonts w:cs="Arial"/>
          <w:bCs/>
          <w:spacing w:val="-14"/>
          <w:w w:val="80"/>
          <w:kern w:val="48"/>
        </w:rPr>
        <w:t xml:space="preserve"> την προώθηση της χρήσης ανανεώσιμων πηγών ενέργειας και τη βελτίωση της ενεργειακής απόδοσης,</w:t>
      </w:r>
    </w:p>
    <w:p w:rsidR="005068BE" w:rsidRDefault="005068BE" w:rsidP="005068BE">
      <w:pPr>
        <w:spacing w:after="0" w:line="220" w:lineRule="exact"/>
        <w:ind w:left="284"/>
        <w:jc w:val="both"/>
        <w:outlineLvl w:val="0"/>
        <w:rPr>
          <w:rFonts w:cs="Arial"/>
          <w:bCs/>
          <w:spacing w:val="-14"/>
          <w:w w:val="80"/>
          <w:kern w:val="48"/>
        </w:rPr>
      </w:pPr>
      <w:r>
        <w:rPr>
          <w:rFonts w:cs="Arial"/>
          <w:bCs/>
          <w:spacing w:val="-14"/>
          <w:w w:val="80"/>
          <w:kern w:val="48"/>
        </w:rPr>
        <w:t xml:space="preserve">      </w:t>
      </w:r>
      <w:r w:rsidR="003C0854" w:rsidRPr="00A36633">
        <w:rPr>
          <w:rFonts w:cs="Arial"/>
          <w:bCs/>
          <w:spacing w:val="-14"/>
          <w:w w:val="80"/>
          <w:kern w:val="48"/>
        </w:rPr>
        <w:t>γ) τον Ιανουάριο του 2024</w:t>
      </w:r>
      <w:r w:rsidR="00371666">
        <w:rPr>
          <w:rFonts w:cs="Arial"/>
          <w:bCs/>
          <w:spacing w:val="-14"/>
          <w:w w:val="80"/>
          <w:kern w:val="48"/>
        </w:rPr>
        <w:t>,</w:t>
      </w:r>
      <w:r w:rsidR="003C0854" w:rsidRPr="00A36633">
        <w:rPr>
          <w:rFonts w:cs="Arial"/>
          <w:bCs/>
          <w:spacing w:val="-14"/>
          <w:w w:val="80"/>
          <w:kern w:val="48"/>
        </w:rPr>
        <w:t xml:space="preserve"> το Υπουργικό Συμβούλιο ενέκρινε το σχέδιο επιδοτήσεων για τη χρήση ΑΠΕ και την Εξοικονόμηση Ενέργειας σε κατοικίες</w:t>
      </w:r>
      <w:r w:rsidR="00371666">
        <w:rPr>
          <w:rFonts w:cs="Arial"/>
          <w:bCs/>
          <w:spacing w:val="-14"/>
          <w:w w:val="80"/>
          <w:kern w:val="48"/>
        </w:rPr>
        <w:t>,</w:t>
      </w:r>
      <w:r w:rsidR="003C0854" w:rsidRPr="00A36633">
        <w:rPr>
          <w:rFonts w:cs="Arial"/>
          <w:bCs/>
          <w:spacing w:val="-14"/>
          <w:w w:val="80"/>
          <w:kern w:val="48"/>
        </w:rPr>
        <w:t xml:space="preserve"> για τα έτη 2024 και 2025, συμπεριλαμβανομένου του σχεδίου «</w:t>
      </w:r>
      <w:proofErr w:type="spellStart"/>
      <w:r w:rsidR="003C0854" w:rsidRPr="00A36633">
        <w:rPr>
          <w:rFonts w:cs="Arial"/>
          <w:bCs/>
          <w:spacing w:val="-14"/>
          <w:w w:val="80"/>
          <w:kern w:val="48"/>
        </w:rPr>
        <w:t>Φωτοβολταϊκά</w:t>
      </w:r>
      <w:proofErr w:type="spellEnd"/>
      <w:r w:rsidR="003C0854" w:rsidRPr="00A36633">
        <w:rPr>
          <w:rFonts w:cs="Arial"/>
          <w:bCs/>
          <w:spacing w:val="-14"/>
          <w:w w:val="80"/>
          <w:kern w:val="48"/>
        </w:rPr>
        <w:t xml:space="preserve"> για όλους», το οποίο έτυχε μεγάλης ανταπόκρισης από τους οικιακούς καταναλωτές. Παράλληλα</w:t>
      </w:r>
      <w:r w:rsidR="00371666">
        <w:rPr>
          <w:rFonts w:cs="Arial"/>
          <w:bCs/>
          <w:spacing w:val="-14"/>
          <w:w w:val="80"/>
          <w:kern w:val="48"/>
        </w:rPr>
        <w:t>,</w:t>
      </w:r>
      <w:r w:rsidR="003C0854" w:rsidRPr="00A36633">
        <w:rPr>
          <w:rFonts w:cs="Arial"/>
          <w:bCs/>
          <w:spacing w:val="-14"/>
          <w:w w:val="80"/>
          <w:kern w:val="48"/>
        </w:rPr>
        <w:t xml:space="preserve"> για πρώτη φορά στην Κυπριακή Δημοκρατία προκηρύσσεται σχέδιο επιδοτήσεων για την ενεργειακή αναβάθμιση και την ενίσχυση της ανταγωνιστικότητας των μεγάλων επιχειρήσεων, ενώ καταρτίζεται και η Εθνική Στρατηγική για το υδρογόνο.  </w:t>
      </w:r>
    </w:p>
    <w:p w:rsidR="005068BE" w:rsidRDefault="005068BE" w:rsidP="005068BE">
      <w:pPr>
        <w:spacing w:after="0" w:line="220" w:lineRule="exact"/>
        <w:ind w:left="284"/>
        <w:jc w:val="both"/>
        <w:outlineLvl w:val="0"/>
        <w:rPr>
          <w:rFonts w:cs="Arial"/>
          <w:bCs/>
          <w:spacing w:val="-14"/>
          <w:w w:val="80"/>
          <w:kern w:val="48"/>
        </w:rPr>
      </w:pPr>
      <w:r>
        <w:rPr>
          <w:rFonts w:cs="Arial"/>
          <w:bCs/>
          <w:spacing w:val="-14"/>
          <w:w w:val="80"/>
          <w:kern w:val="48"/>
        </w:rPr>
        <w:t xml:space="preserve">      </w:t>
      </w:r>
      <w:r w:rsidR="003C0854" w:rsidRPr="00A36633">
        <w:rPr>
          <w:rFonts w:cs="Arial"/>
          <w:bCs/>
          <w:spacing w:val="-14"/>
          <w:w w:val="80"/>
          <w:kern w:val="48"/>
        </w:rPr>
        <w:t xml:space="preserve">δ) η διαδικασία αίτησης, εξέτασης και </w:t>
      </w:r>
      <w:proofErr w:type="spellStart"/>
      <w:r w:rsidR="003C0854" w:rsidRPr="00A36633">
        <w:rPr>
          <w:rFonts w:cs="Arial"/>
          <w:bCs/>
          <w:spacing w:val="-14"/>
          <w:w w:val="80"/>
          <w:kern w:val="48"/>
        </w:rPr>
        <w:t>αδειοδότησης</w:t>
      </w:r>
      <w:proofErr w:type="spellEnd"/>
      <w:r w:rsidR="003C0854" w:rsidRPr="00A36633">
        <w:rPr>
          <w:rFonts w:cs="Arial"/>
          <w:bCs/>
          <w:spacing w:val="-14"/>
          <w:w w:val="80"/>
          <w:kern w:val="48"/>
        </w:rPr>
        <w:t xml:space="preserve"> έργων ΑΠΕ από το Υπουργείο Ενέργειας γίνεται πλέον ψηφιακά και  εντός του 2024 αναμένεται να ανακοινωθούν σχέδια για την αποθήκευση ενέργειας από ΑΠΕ, ενώ στον τομέα των συμβατικών καυσίμων ο στόχος είναι η ολοκλήρωση των απαραίτητων υποδομών, με σκοπό την έλευση του φυσικού αερίου και την ηλεκτρική διασύνδεση της Κύπρου με γειτονικές χώρες. </w:t>
      </w:r>
    </w:p>
    <w:p w:rsidR="005068BE" w:rsidRDefault="005068BE" w:rsidP="005068BE">
      <w:pPr>
        <w:spacing w:after="0" w:line="220" w:lineRule="exact"/>
        <w:ind w:left="284"/>
        <w:jc w:val="both"/>
        <w:outlineLvl w:val="0"/>
        <w:rPr>
          <w:rFonts w:cs="Arial"/>
          <w:bCs/>
          <w:spacing w:val="-14"/>
          <w:w w:val="80"/>
          <w:kern w:val="48"/>
        </w:rPr>
      </w:pPr>
      <w:r>
        <w:rPr>
          <w:rFonts w:cs="Arial"/>
          <w:bCs/>
          <w:spacing w:val="-14"/>
          <w:w w:val="80"/>
          <w:kern w:val="48"/>
        </w:rPr>
        <w:t xml:space="preserve">      </w:t>
      </w:r>
      <w:r w:rsidR="003C0854" w:rsidRPr="00A36633">
        <w:rPr>
          <w:rFonts w:cs="Arial"/>
          <w:bCs/>
          <w:spacing w:val="-14"/>
          <w:w w:val="80"/>
          <w:kern w:val="48"/>
        </w:rPr>
        <w:t xml:space="preserve">Καταλήγοντας, χαρακτήρισε τη διεύρυνση των εργασιών της </w:t>
      </w:r>
      <w:proofErr w:type="spellStart"/>
      <w:r w:rsidR="003C0854" w:rsidRPr="00A36633">
        <w:rPr>
          <w:rFonts w:cs="Arial"/>
          <w:bCs/>
          <w:spacing w:val="-14"/>
          <w:w w:val="80"/>
          <w:kern w:val="48"/>
        </w:rPr>
        <w:t>Helleniq</w:t>
      </w:r>
      <w:proofErr w:type="spellEnd"/>
      <w:r w:rsidR="003C0854" w:rsidRPr="00A36633">
        <w:rPr>
          <w:rFonts w:cs="Arial"/>
          <w:bCs/>
          <w:spacing w:val="-14"/>
          <w:w w:val="80"/>
          <w:kern w:val="48"/>
        </w:rPr>
        <w:t xml:space="preserve"> </w:t>
      </w:r>
      <w:proofErr w:type="spellStart"/>
      <w:r w:rsidR="003C0854" w:rsidRPr="00A36633">
        <w:rPr>
          <w:rFonts w:cs="Arial"/>
          <w:bCs/>
          <w:spacing w:val="-14"/>
          <w:w w:val="80"/>
          <w:kern w:val="48"/>
        </w:rPr>
        <w:t>Energy</w:t>
      </w:r>
      <w:proofErr w:type="spellEnd"/>
      <w:r w:rsidR="003C0854" w:rsidRPr="00A36633">
        <w:rPr>
          <w:rFonts w:cs="Arial"/>
          <w:bCs/>
          <w:spacing w:val="-14"/>
          <w:w w:val="80"/>
          <w:kern w:val="48"/>
        </w:rPr>
        <w:t xml:space="preserve"> στην Κύπρο και τις νέες της επενδύσεις στην κυπριακή αγορά</w:t>
      </w:r>
      <w:r w:rsidR="00371666">
        <w:rPr>
          <w:rFonts w:cs="Arial"/>
          <w:bCs/>
          <w:spacing w:val="-14"/>
          <w:w w:val="80"/>
          <w:kern w:val="48"/>
        </w:rPr>
        <w:t>,</w:t>
      </w:r>
      <w:r w:rsidR="003C0854" w:rsidRPr="00A36633">
        <w:rPr>
          <w:rFonts w:cs="Arial"/>
          <w:bCs/>
          <w:spacing w:val="-14"/>
          <w:w w:val="80"/>
          <w:kern w:val="48"/>
        </w:rPr>
        <w:t xml:space="preserve"> ως μια από τις σημαντικότερες ψήφους εμπιστοσύνης στην κυπριακή οικονομία.</w:t>
      </w:r>
      <w:r w:rsidR="00D663A8" w:rsidRPr="00A36633">
        <w:rPr>
          <w:rFonts w:cs="Arial"/>
          <w:bCs/>
          <w:spacing w:val="-14"/>
          <w:w w:val="80"/>
          <w:kern w:val="48"/>
        </w:rPr>
        <w:t xml:space="preserve"> </w:t>
      </w:r>
    </w:p>
    <w:p w:rsidR="005068BE" w:rsidRDefault="005068BE" w:rsidP="005068BE">
      <w:pPr>
        <w:spacing w:after="0" w:line="220" w:lineRule="exact"/>
        <w:ind w:left="284"/>
        <w:jc w:val="both"/>
        <w:outlineLvl w:val="0"/>
        <w:rPr>
          <w:rFonts w:cs="Arial"/>
          <w:bCs/>
          <w:spacing w:val="-14"/>
          <w:w w:val="80"/>
          <w:kern w:val="48"/>
        </w:rPr>
      </w:pPr>
      <w:r>
        <w:rPr>
          <w:rFonts w:cs="Arial"/>
          <w:bCs/>
          <w:spacing w:val="-14"/>
          <w:w w:val="80"/>
          <w:kern w:val="48"/>
        </w:rPr>
        <w:t xml:space="preserve">      </w:t>
      </w:r>
      <w:r w:rsidR="00333D20" w:rsidRPr="00A36633">
        <w:rPr>
          <w:rFonts w:cs="Arial"/>
          <w:bCs/>
          <w:spacing w:val="-14"/>
          <w:w w:val="80"/>
          <w:kern w:val="48"/>
        </w:rPr>
        <w:t>Σημειώνεται</w:t>
      </w:r>
      <w:r w:rsidR="003C0854" w:rsidRPr="00A36633">
        <w:rPr>
          <w:rFonts w:cs="Arial"/>
          <w:bCs/>
          <w:spacing w:val="-14"/>
          <w:w w:val="80"/>
          <w:kern w:val="48"/>
        </w:rPr>
        <w:t xml:space="preserve"> ότι η </w:t>
      </w:r>
      <w:proofErr w:type="spellStart"/>
      <w:r w:rsidR="003C0854" w:rsidRPr="00A36633">
        <w:rPr>
          <w:rFonts w:cs="Arial"/>
          <w:bCs/>
          <w:spacing w:val="-14"/>
          <w:w w:val="80"/>
          <w:kern w:val="48"/>
        </w:rPr>
        <w:t>HELLENiQ</w:t>
      </w:r>
      <w:proofErr w:type="spellEnd"/>
      <w:r w:rsidR="003C0854" w:rsidRPr="00A36633">
        <w:rPr>
          <w:rFonts w:cs="Arial"/>
          <w:bCs/>
          <w:spacing w:val="-14"/>
          <w:w w:val="80"/>
          <w:kern w:val="48"/>
        </w:rPr>
        <w:t xml:space="preserve"> ENERGY (ΕΛΠΕ) αποτελεί έναν από τους μεγαλύτερους ενεργειακούς ομίλους στη Νοτιοανατολική Ευρώπη, που ιδρύθηκε</w:t>
      </w:r>
      <w:r w:rsidR="00371666">
        <w:rPr>
          <w:rFonts w:cs="Arial"/>
          <w:bCs/>
          <w:spacing w:val="-14"/>
          <w:w w:val="80"/>
          <w:kern w:val="48"/>
        </w:rPr>
        <w:t>,</w:t>
      </w:r>
      <w:r w:rsidR="003C0854" w:rsidRPr="00A36633">
        <w:rPr>
          <w:rFonts w:cs="Arial"/>
          <w:bCs/>
          <w:spacing w:val="-14"/>
          <w:w w:val="80"/>
          <w:kern w:val="48"/>
        </w:rPr>
        <w:t xml:space="preserve"> το 1998</w:t>
      </w:r>
      <w:r w:rsidR="00371666">
        <w:rPr>
          <w:rFonts w:cs="Arial"/>
          <w:bCs/>
          <w:spacing w:val="-14"/>
          <w:w w:val="80"/>
          <w:kern w:val="48"/>
        </w:rPr>
        <w:t>,</w:t>
      </w:r>
      <w:r w:rsidR="003C0854" w:rsidRPr="00A36633">
        <w:rPr>
          <w:rFonts w:cs="Arial"/>
          <w:bCs/>
          <w:spacing w:val="-14"/>
          <w:w w:val="80"/>
          <w:kern w:val="48"/>
        </w:rPr>
        <w:t xml:space="preserve"> και δραστηριοποιείται σε 6 χώρες με χαρτοφυλάκιο, που εκτείνεται σε όλη την ενεργειακή αλυσίδα. Το 2023</w:t>
      </w:r>
      <w:r w:rsidR="00D663A8" w:rsidRPr="00A36633">
        <w:rPr>
          <w:rFonts w:cs="Arial"/>
          <w:bCs/>
          <w:spacing w:val="-14"/>
          <w:w w:val="80"/>
          <w:kern w:val="48"/>
        </w:rPr>
        <w:t>,</w:t>
      </w:r>
      <w:r w:rsidR="003C0854" w:rsidRPr="00A36633">
        <w:rPr>
          <w:rFonts w:cs="Arial"/>
          <w:bCs/>
          <w:spacing w:val="-14"/>
          <w:w w:val="80"/>
          <w:kern w:val="48"/>
        </w:rPr>
        <w:t xml:space="preserve"> ο Κύκλος Εργασιών του Ομίλου ανήλθε σε 12,8 δισ. Ευρώ, τα κέρδη </w:t>
      </w:r>
      <w:proofErr w:type="spellStart"/>
      <w:r w:rsidR="003C0854" w:rsidRPr="00A36633">
        <w:rPr>
          <w:rFonts w:cs="Arial"/>
          <w:bCs/>
          <w:spacing w:val="-14"/>
          <w:w w:val="80"/>
          <w:kern w:val="48"/>
          <w:lang w:val="en-US"/>
        </w:rPr>
        <w:t>ebitda</w:t>
      </w:r>
      <w:proofErr w:type="spellEnd"/>
      <w:r w:rsidR="00371666">
        <w:rPr>
          <w:rFonts w:cs="Arial"/>
          <w:bCs/>
          <w:spacing w:val="-14"/>
          <w:w w:val="80"/>
          <w:kern w:val="48"/>
        </w:rPr>
        <w:t>,</w:t>
      </w:r>
      <w:r w:rsidR="003C0854" w:rsidRPr="00A36633">
        <w:rPr>
          <w:rFonts w:cs="Arial"/>
          <w:bCs/>
          <w:spacing w:val="-14"/>
          <w:w w:val="80"/>
          <w:kern w:val="48"/>
        </w:rPr>
        <w:t xml:space="preserve"> σε 1.237 εκατ. Ευρώ, ενώ οι συνολικές επενδύσεις του</w:t>
      </w:r>
      <w:r w:rsidR="00371666">
        <w:rPr>
          <w:rFonts w:cs="Arial"/>
          <w:bCs/>
          <w:spacing w:val="-14"/>
          <w:w w:val="80"/>
          <w:kern w:val="48"/>
        </w:rPr>
        <w:t>,</w:t>
      </w:r>
      <w:r w:rsidR="003C0854" w:rsidRPr="00A36633">
        <w:rPr>
          <w:rFonts w:cs="Arial"/>
          <w:bCs/>
          <w:spacing w:val="-14"/>
          <w:w w:val="80"/>
          <w:kern w:val="48"/>
        </w:rPr>
        <w:t xml:space="preserve"> ανήλθαν στα 291 εκατ. Ευρώ.</w:t>
      </w:r>
    </w:p>
    <w:p w:rsidR="005068BE" w:rsidRDefault="005068BE" w:rsidP="005068BE">
      <w:pPr>
        <w:spacing w:after="0" w:line="220" w:lineRule="exact"/>
        <w:ind w:left="284"/>
        <w:jc w:val="both"/>
        <w:outlineLvl w:val="0"/>
        <w:rPr>
          <w:rFonts w:cs="Arial"/>
          <w:bCs/>
          <w:spacing w:val="-14"/>
          <w:w w:val="80"/>
          <w:kern w:val="48"/>
        </w:rPr>
      </w:pPr>
    </w:p>
    <w:p w:rsidR="005068BE" w:rsidRDefault="005C736C" w:rsidP="005068BE">
      <w:pPr>
        <w:spacing w:after="0" w:line="220" w:lineRule="exact"/>
        <w:ind w:left="284"/>
        <w:jc w:val="both"/>
        <w:outlineLvl w:val="0"/>
        <w:rPr>
          <w:rFonts w:cs="Arial"/>
          <w:b/>
          <w:color w:val="0070C0"/>
          <w:spacing w:val="-14"/>
          <w:w w:val="80"/>
          <w:kern w:val="48"/>
        </w:rPr>
      </w:pPr>
      <w:r w:rsidRPr="00B77D7A">
        <w:rPr>
          <w:rFonts w:cs="Arial"/>
          <w:b/>
          <w:color w:val="0070C0"/>
          <w:spacing w:val="-14"/>
          <w:w w:val="80"/>
          <w:kern w:val="48"/>
        </w:rPr>
        <w:t>6.3</w:t>
      </w:r>
      <w:r w:rsidR="00A950C1" w:rsidRPr="00B77D7A">
        <w:rPr>
          <w:rFonts w:eastAsia="Andale Sans UI" w:cs="Arial"/>
          <w:b/>
          <w:bCs/>
          <w:color w:val="0070C0"/>
          <w:kern w:val="1"/>
        </w:rPr>
        <w:t xml:space="preserve"> </w:t>
      </w:r>
      <w:r w:rsidR="00DC6060" w:rsidRPr="00B77D7A">
        <w:rPr>
          <w:rFonts w:cs="Arial"/>
          <w:b/>
          <w:color w:val="0070C0"/>
          <w:spacing w:val="-14"/>
          <w:w w:val="80"/>
          <w:kern w:val="48"/>
        </w:rPr>
        <w:t xml:space="preserve"> </w:t>
      </w:r>
      <w:r w:rsidR="00A91D85" w:rsidRPr="00B77D7A">
        <w:rPr>
          <w:rFonts w:cs="Arial"/>
          <w:b/>
          <w:color w:val="0070C0"/>
          <w:spacing w:val="-14"/>
          <w:w w:val="80"/>
          <w:kern w:val="48"/>
        </w:rPr>
        <w:t xml:space="preserve">Εξελίξεις σχετικά με την πορεία ολοκλήρωσης του τερματικού </w:t>
      </w:r>
      <w:proofErr w:type="spellStart"/>
      <w:r w:rsidR="00A91D85" w:rsidRPr="00B77D7A">
        <w:rPr>
          <w:rFonts w:cs="Arial"/>
          <w:b/>
          <w:color w:val="0070C0"/>
          <w:spacing w:val="-14"/>
          <w:w w:val="80"/>
          <w:kern w:val="48"/>
        </w:rPr>
        <w:t>αποϋγροποίησης</w:t>
      </w:r>
      <w:proofErr w:type="spellEnd"/>
      <w:r w:rsidR="00A91D85" w:rsidRPr="00B77D7A">
        <w:rPr>
          <w:rFonts w:cs="Arial"/>
          <w:b/>
          <w:color w:val="0070C0"/>
          <w:spacing w:val="-14"/>
          <w:w w:val="80"/>
          <w:kern w:val="48"/>
        </w:rPr>
        <w:t xml:space="preserve"> φ/α στο Βασιλικό - Συνέντευξη  κ/ Υπουργού Ενέργειας κ. Γ. Παπαναστασίου.</w:t>
      </w:r>
    </w:p>
    <w:p w:rsidR="005068BE" w:rsidRDefault="005068BE" w:rsidP="005068BE">
      <w:pPr>
        <w:spacing w:after="0" w:line="220" w:lineRule="exact"/>
        <w:ind w:left="284"/>
        <w:jc w:val="both"/>
        <w:outlineLvl w:val="0"/>
        <w:rPr>
          <w:rFonts w:cs="Arial"/>
          <w:spacing w:val="-14"/>
          <w:w w:val="80"/>
          <w:kern w:val="48"/>
        </w:rPr>
      </w:pPr>
      <w:r>
        <w:rPr>
          <w:rFonts w:cs="Arial"/>
          <w:b/>
          <w:color w:val="0070C0"/>
          <w:spacing w:val="-14"/>
          <w:w w:val="80"/>
          <w:kern w:val="48"/>
        </w:rPr>
        <w:t xml:space="preserve">      </w:t>
      </w:r>
      <w:r w:rsidR="00FE6986" w:rsidRPr="00A36633">
        <w:rPr>
          <w:rFonts w:cs="Arial"/>
          <w:spacing w:val="-14"/>
          <w:w w:val="80"/>
          <w:kern w:val="48"/>
        </w:rPr>
        <w:t xml:space="preserve">Σε πρόσφατη συνέντευξη του (8.2. </w:t>
      </w:r>
      <w:proofErr w:type="spellStart"/>
      <w:r w:rsidR="00FE6986" w:rsidRPr="00A36633">
        <w:rPr>
          <w:rFonts w:cs="Arial"/>
          <w:spacing w:val="-14"/>
          <w:w w:val="80"/>
          <w:kern w:val="48"/>
        </w:rPr>
        <w:t>τ.έ</w:t>
      </w:r>
      <w:proofErr w:type="spellEnd"/>
      <w:r w:rsidR="00FE6986" w:rsidRPr="00A36633">
        <w:rPr>
          <w:rFonts w:cs="Arial"/>
          <w:spacing w:val="-14"/>
          <w:w w:val="80"/>
          <w:kern w:val="48"/>
        </w:rPr>
        <w:t>.)</w:t>
      </w:r>
      <w:r w:rsidR="00371666">
        <w:rPr>
          <w:rFonts w:cs="Arial"/>
          <w:spacing w:val="-14"/>
          <w:w w:val="80"/>
          <w:kern w:val="48"/>
        </w:rPr>
        <w:t>,</w:t>
      </w:r>
      <w:r w:rsidR="00FE6986" w:rsidRPr="00A36633">
        <w:rPr>
          <w:rFonts w:cs="Arial"/>
          <w:spacing w:val="-14"/>
          <w:w w:val="80"/>
          <w:kern w:val="48"/>
        </w:rPr>
        <w:t xml:space="preserve"> ο κ/ Υπουργός Ενέργειας</w:t>
      </w:r>
      <w:r w:rsidR="00371666">
        <w:rPr>
          <w:rFonts w:cs="Arial"/>
          <w:spacing w:val="-14"/>
          <w:w w:val="80"/>
          <w:kern w:val="48"/>
        </w:rPr>
        <w:t>,</w:t>
      </w:r>
      <w:r w:rsidR="00FE6986" w:rsidRPr="00A36633">
        <w:rPr>
          <w:rFonts w:cs="Arial"/>
          <w:spacing w:val="-14"/>
          <w:w w:val="80"/>
          <w:kern w:val="48"/>
        </w:rPr>
        <w:t xml:space="preserve"> κ. Γ. Παπαναστασίου</w:t>
      </w:r>
      <w:r w:rsidR="00371666">
        <w:rPr>
          <w:rFonts w:cs="Arial"/>
          <w:spacing w:val="-14"/>
          <w:w w:val="80"/>
          <w:kern w:val="48"/>
        </w:rPr>
        <w:t>,</w:t>
      </w:r>
      <w:r w:rsidR="00FE6986" w:rsidRPr="00A36633">
        <w:rPr>
          <w:rFonts w:cs="Arial"/>
          <w:spacing w:val="-14"/>
          <w:w w:val="80"/>
          <w:kern w:val="48"/>
        </w:rPr>
        <w:t xml:space="preserve"> σχολιάζοντας τις εξελίξεις στο Βασιλικό και την έγερση αξίωσης αποζημίωσης εκ μέρους της κινεζικής </w:t>
      </w:r>
      <w:r w:rsidR="00FE6986" w:rsidRPr="00A36633">
        <w:rPr>
          <w:rFonts w:cs="Arial"/>
          <w:spacing w:val="-14"/>
          <w:w w:val="80"/>
          <w:kern w:val="48"/>
          <w:lang w:val="en-US"/>
        </w:rPr>
        <w:t>CCP</w:t>
      </w:r>
      <w:r w:rsidR="00FE6986" w:rsidRPr="00A36633">
        <w:rPr>
          <w:rFonts w:cs="Arial"/>
          <w:spacing w:val="-14"/>
          <w:w w:val="80"/>
          <w:kern w:val="48"/>
        </w:rPr>
        <w:t xml:space="preserve"> ανέφερε</w:t>
      </w:r>
      <w:r w:rsidR="00371666">
        <w:rPr>
          <w:rFonts w:cs="Arial"/>
          <w:spacing w:val="-14"/>
          <w:w w:val="80"/>
          <w:kern w:val="48"/>
        </w:rPr>
        <w:t>,</w:t>
      </w:r>
      <w:r w:rsidR="00FE6986" w:rsidRPr="00A36633">
        <w:rPr>
          <w:rFonts w:cs="Arial"/>
          <w:spacing w:val="-14"/>
          <w:w w:val="80"/>
          <w:kern w:val="48"/>
        </w:rPr>
        <w:t xml:space="preserve"> μεταξύ άλλων</w:t>
      </w:r>
      <w:r w:rsidR="00371666">
        <w:rPr>
          <w:rFonts w:cs="Arial"/>
          <w:spacing w:val="-14"/>
          <w:w w:val="80"/>
          <w:kern w:val="48"/>
        </w:rPr>
        <w:t>,</w:t>
      </w:r>
      <w:r w:rsidR="00FE6986" w:rsidRPr="00A36633">
        <w:rPr>
          <w:rFonts w:cs="Arial"/>
          <w:spacing w:val="-14"/>
          <w:w w:val="80"/>
          <w:kern w:val="48"/>
        </w:rPr>
        <w:t xml:space="preserve"> ότι : α) δεν </w:t>
      </w:r>
      <w:r w:rsidR="00FE6986" w:rsidRPr="00A36633">
        <w:rPr>
          <w:rFonts w:cs="Arial"/>
          <w:spacing w:val="-14"/>
          <w:w w:val="80"/>
          <w:kern w:val="48"/>
        </w:rPr>
        <w:lastRenderedPageBreak/>
        <w:t xml:space="preserve">έχει δοθεί τελεσίγραφο στην εταιρεία, που διεξάγει τις εργασίες στον τερματικό σταθμό, από την κ/ κυβέρνηση β) αυτή τη στιγμή έχουν μεν διακοπεί οι εργασίες στο τερματικό, </w:t>
      </w:r>
      <w:r w:rsidR="00371666">
        <w:rPr>
          <w:rFonts w:cs="Arial"/>
          <w:spacing w:val="-14"/>
          <w:w w:val="80"/>
          <w:kern w:val="48"/>
        </w:rPr>
        <w:t>όμως,</w:t>
      </w:r>
      <w:r w:rsidR="00FE6986" w:rsidRPr="00A36633">
        <w:rPr>
          <w:rFonts w:cs="Arial"/>
          <w:spacing w:val="-14"/>
          <w:w w:val="80"/>
          <w:kern w:val="48"/>
        </w:rPr>
        <w:t xml:space="preserve"> υπάρχει μια σχεδόν ολοκληρωμένη πλωτή μονάδα, η οποία βρίσκεται στην Κίνα και η οποία είναι στην ιδιοκτησία της Κυπριακής Δημοκρατίας, αλλά όχι στην κατοχή της, γ) το χερσαίο τερματικό βρίσκεται στο 50%</w:t>
      </w:r>
      <w:r w:rsidR="00371666">
        <w:rPr>
          <w:rFonts w:cs="Arial"/>
          <w:spacing w:val="-14"/>
          <w:w w:val="80"/>
          <w:kern w:val="48"/>
        </w:rPr>
        <w:t>,</w:t>
      </w:r>
      <w:r w:rsidR="00FE6986" w:rsidRPr="00A36633">
        <w:rPr>
          <w:rFonts w:cs="Arial"/>
          <w:spacing w:val="-14"/>
          <w:w w:val="80"/>
          <w:kern w:val="48"/>
        </w:rPr>
        <w:t xml:space="preserve"> περίπου</w:t>
      </w:r>
      <w:r w:rsidR="00371666">
        <w:rPr>
          <w:rFonts w:cs="Arial"/>
          <w:spacing w:val="-14"/>
          <w:w w:val="80"/>
          <w:kern w:val="48"/>
        </w:rPr>
        <w:t>,</w:t>
      </w:r>
      <w:r w:rsidR="00FE6986" w:rsidRPr="00A36633">
        <w:rPr>
          <w:rFonts w:cs="Arial"/>
          <w:spacing w:val="-14"/>
          <w:w w:val="80"/>
          <w:kern w:val="48"/>
        </w:rPr>
        <w:t xml:space="preserve"> της ολοκλήρωσης, δ) η διαιτησία, η οποία ξεκίνησε</w:t>
      </w:r>
      <w:r w:rsidR="00371666">
        <w:rPr>
          <w:rFonts w:cs="Arial"/>
          <w:spacing w:val="-14"/>
          <w:w w:val="80"/>
          <w:kern w:val="48"/>
        </w:rPr>
        <w:t>,</w:t>
      </w:r>
      <w:r w:rsidR="00FE6986" w:rsidRPr="00A36633">
        <w:rPr>
          <w:rFonts w:cs="Arial"/>
          <w:spacing w:val="-14"/>
          <w:w w:val="80"/>
          <w:kern w:val="48"/>
        </w:rPr>
        <w:t xml:space="preserve"> προ καιρού</w:t>
      </w:r>
      <w:r w:rsidR="00371666">
        <w:rPr>
          <w:rFonts w:cs="Arial"/>
          <w:spacing w:val="-14"/>
          <w:w w:val="80"/>
          <w:kern w:val="48"/>
        </w:rPr>
        <w:t>,</w:t>
      </w:r>
      <w:r w:rsidR="00FE6986" w:rsidRPr="00A36633">
        <w:rPr>
          <w:rFonts w:cs="Arial"/>
          <w:spacing w:val="-14"/>
          <w:w w:val="80"/>
          <w:kern w:val="48"/>
        </w:rPr>
        <w:t xml:space="preserve"> βρίσκεται σε εξέλιξη και την περασμένη βδομάδα κατετέθη ο κατάλογος των απαιτήσεων και ε) σήμερα</w:t>
      </w:r>
      <w:r w:rsidR="00371666">
        <w:rPr>
          <w:rFonts w:cs="Arial"/>
          <w:spacing w:val="-14"/>
          <w:w w:val="80"/>
          <w:kern w:val="48"/>
        </w:rPr>
        <w:t>,</w:t>
      </w:r>
      <w:r w:rsidR="00FE6986" w:rsidRPr="00A36633">
        <w:rPr>
          <w:rFonts w:cs="Arial"/>
          <w:spacing w:val="-14"/>
          <w:w w:val="80"/>
          <w:kern w:val="48"/>
        </w:rPr>
        <w:t xml:space="preserve"> δεν θα έδινε το συμβόλαιο για το Βασιλικό σε μια τέτοια εταιρεία.</w:t>
      </w:r>
    </w:p>
    <w:p w:rsidR="005068BE" w:rsidRDefault="005068BE" w:rsidP="005068BE">
      <w:pPr>
        <w:spacing w:after="0" w:line="220" w:lineRule="exact"/>
        <w:ind w:left="284"/>
        <w:jc w:val="both"/>
        <w:outlineLvl w:val="0"/>
        <w:rPr>
          <w:rFonts w:cs="Arial"/>
          <w:spacing w:val="-14"/>
          <w:w w:val="80"/>
          <w:kern w:val="48"/>
        </w:rPr>
      </w:pPr>
      <w:r>
        <w:rPr>
          <w:rFonts w:cs="Arial"/>
          <w:spacing w:val="-14"/>
          <w:w w:val="80"/>
          <w:kern w:val="48"/>
        </w:rPr>
        <w:t xml:space="preserve">      </w:t>
      </w:r>
      <w:r w:rsidR="00FE6986" w:rsidRPr="00A36633">
        <w:rPr>
          <w:rFonts w:cs="Arial"/>
          <w:spacing w:val="-14"/>
          <w:w w:val="80"/>
          <w:kern w:val="48"/>
        </w:rPr>
        <w:t>Σύμφωνα με τον κ. Παπαναστασίου η κυβέρνηση αξιολογεί την κατάσταση και την πορεία ολοκλήρωσης των έργων στο τερματικό, ώστε να φθάσει στην Κύπρο το φυσικό αέριο, το οποίο η χώρα έχει απόλυτη ανάγκη. Σε περίπτωση</w:t>
      </w:r>
      <w:r w:rsidR="00371666">
        <w:rPr>
          <w:rFonts w:cs="Arial"/>
          <w:spacing w:val="-14"/>
          <w:w w:val="80"/>
          <w:kern w:val="48"/>
        </w:rPr>
        <w:t>,</w:t>
      </w:r>
      <w:r w:rsidR="00FE6986" w:rsidRPr="00A36633">
        <w:rPr>
          <w:rFonts w:cs="Arial"/>
          <w:spacing w:val="-14"/>
          <w:w w:val="80"/>
          <w:kern w:val="48"/>
        </w:rPr>
        <w:t xml:space="preserve"> πάντως</w:t>
      </w:r>
      <w:r w:rsidR="00371666">
        <w:rPr>
          <w:rFonts w:cs="Arial"/>
          <w:spacing w:val="-14"/>
          <w:w w:val="80"/>
          <w:kern w:val="48"/>
        </w:rPr>
        <w:t>,</w:t>
      </w:r>
      <w:r w:rsidR="00FE6986" w:rsidRPr="00A36633">
        <w:rPr>
          <w:rFonts w:cs="Arial"/>
          <w:spacing w:val="-14"/>
          <w:w w:val="80"/>
          <w:kern w:val="48"/>
        </w:rPr>
        <w:t xml:space="preserve"> που δεν ολοκληρωθεί το τερματικό με τη συγκεκριμένη εταιρεία η κ/ κυβέρνηση εξετάζει το ενδεχόμενο να τερματίσει τη σύμβαση, η οποία έχει ήδη πάρει πολλές παρατάσεις. Το χρονοδιάγραμμα και της τέταρτης παράτασης για την παράδοση του έργου (Ιούλιος 2024) είναι πρακτικά δύσκολο να τηρηθεί και φαίνεται ότι μόνον η εμπλοκή της κινεζικής κυβέρνησης στις διαπραγματεύσεις, οι οποίες αναμένεται να ξεκινήσουν</w:t>
      </w:r>
      <w:r w:rsidR="00371666">
        <w:rPr>
          <w:rFonts w:cs="Arial"/>
          <w:spacing w:val="-14"/>
          <w:w w:val="80"/>
          <w:kern w:val="48"/>
        </w:rPr>
        <w:t>,</w:t>
      </w:r>
      <w:r w:rsidR="00FE6986" w:rsidRPr="00A36633">
        <w:rPr>
          <w:rFonts w:cs="Arial"/>
          <w:spacing w:val="-14"/>
          <w:w w:val="80"/>
          <w:kern w:val="48"/>
        </w:rPr>
        <w:t xml:space="preserve"> σύντομα</w:t>
      </w:r>
      <w:r w:rsidR="00371666">
        <w:rPr>
          <w:rFonts w:cs="Arial"/>
          <w:spacing w:val="-14"/>
          <w:w w:val="80"/>
          <w:kern w:val="48"/>
        </w:rPr>
        <w:t>,</w:t>
      </w:r>
      <w:r w:rsidR="00FE6986" w:rsidRPr="00A36633">
        <w:rPr>
          <w:rFonts w:cs="Arial"/>
          <w:spacing w:val="-14"/>
          <w:w w:val="80"/>
          <w:kern w:val="48"/>
        </w:rPr>
        <w:t xml:space="preserve"> μπορεί να ανατρέψει τις εξελίξεις, που έχουν ήδη δρομολογηθεί. Ο κ. Γ. Παπαναστασίου συμπλήρωσε</w:t>
      </w:r>
      <w:r w:rsidR="00371666">
        <w:rPr>
          <w:rFonts w:cs="Arial"/>
          <w:spacing w:val="-14"/>
          <w:w w:val="80"/>
          <w:kern w:val="48"/>
        </w:rPr>
        <w:t>,</w:t>
      </w:r>
      <w:r w:rsidR="00FE6986" w:rsidRPr="00A36633">
        <w:rPr>
          <w:rFonts w:cs="Arial"/>
          <w:spacing w:val="-14"/>
          <w:w w:val="80"/>
          <w:kern w:val="48"/>
        </w:rPr>
        <w:t xml:space="preserve"> ότι Κυπριακή Δημοκρατία, ΕΤΥΦΑ και ΔΕΦΑ έχουν</w:t>
      </w:r>
      <w:r w:rsidR="00FE6986" w:rsidRPr="00A36633">
        <w:rPr>
          <w:rFonts w:cs="Arial"/>
          <w:spacing w:val="-14"/>
          <w:w w:val="80"/>
          <w:kern w:val="48"/>
          <w:lang w:val="en-US"/>
        </w:rPr>
        <w:t> </w:t>
      </w:r>
      <w:r w:rsidR="00FE6986" w:rsidRPr="00A36633">
        <w:rPr>
          <w:rFonts w:cs="Arial"/>
          <w:spacing w:val="-14"/>
          <w:w w:val="80"/>
          <w:kern w:val="48"/>
        </w:rPr>
        <w:t>μελετήσει όλα τα σενάρια, δήλωση</w:t>
      </w:r>
      <w:r w:rsidR="00371666">
        <w:rPr>
          <w:rFonts w:cs="Arial"/>
          <w:spacing w:val="-14"/>
          <w:w w:val="80"/>
          <w:kern w:val="48"/>
        </w:rPr>
        <w:t>,</w:t>
      </w:r>
      <w:r w:rsidR="00FE6986" w:rsidRPr="00A36633">
        <w:rPr>
          <w:rFonts w:cs="Arial"/>
          <w:spacing w:val="-14"/>
          <w:w w:val="80"/>
          <w:kern w:val="48"/>
        </w:rPr>
        <w:t xml:space="preserve"> η οποία ενισχύει την εκτίμηση</w:t>
      </w:r>
      <w:r w:rsidR="00371666">
        <w:rPr>
          <w:rFonts w:cs="Arial"/>
          <w:spacing w:val="-14"/>
          <w:w w:val="80"/>
          <w:kern w:val="48"/>
        </w:rPr>
        <w:t>, ότι η κ/</w:t>
      </w:r>
      <w:r w:rsidR="00FE6986" w:rsidRPr="00A36633">
        <w:rPr>
          <w:rFonts w:cs="Arial"/>
          <w:spacing w:val="-14"/>
          <w:w w:val="80"/>
          <w:kern w:val="48"/>
        </w:rPr>
        <w:t xml:space="preserve">κυβέρνηση βρίσκεται ένα βήμα πριν από τη διακοπή του συμβολαίου με την κινέζικη κοινοπραξία </w:t>
      </w:r>
      <w:r w:rsidR="00FE6986" w:rsidRPr="00A36633">
        <w:rPr>
          <w:rFonts w:cs="Arial"/>
          <w:spacing w:val="-14"/>
          <w:w w:val="80"/>
          <w:kern w:val="48"/>
          <w:lang w:val="en-US"/>
        </w:rPr>
        <w:t>CPP</w:t>
      </w:r>
      <w:r w:rsidR="00FE6986" w:rsidRPr="00A36633">
        <w:rPr>
          <w:rFonts w:cs="Arial"/>
          <w:spacing w:val="-14"/>
          <w:w w:val="80"/>
          <w:kern w:val="48"/>
        </w:rPr>
        <w:t>.</w:t>
      </w:r>
    </w:p>
    <w:p w:rsidR="005068BE" w:rsidRDefault="005068BE" w:rsidP="005068BE">
      <w:pPr>
        <w:spacing w:after="0" w:line="220" w:lineRule="exact"/>
        <w:ind w:left="284"/>
        <w:jc w:val="both"/>
        <w:outlineLvl w:val="0"/>
        <w:rPr>
          <w:rFonts w:cs="Arial"/>
          <w:spacing w:val="-14"/>
          <w:w w:val="80"/>
          <w:kern w:val="48"/>
        </w:rPr>
      </w:pPr>
      <w:r>
        <w:rPr>
          <w:rFonts w:cs="Arial"/>
          <w:spacing w:val="-14"/>
          <w:w w:val="80"/>
          <w:kern w:val="48"/>
        </w:rPr>
        <w:t xml:space="preserve">      </w:t>
      </w:r>
      <w:r w:rsidR="00FE6986" w:rsidRPr="00A36633">
        <w:rPr>
          <w:rFonts w:cs="Arial"/>
          <w:spacing w:val="-14"/>
          <w:w w:val="80"/>
          <w:kern w:val="48"/>
        </w:rPr>
        <w:t>Ο κ. Παπαναστασίου</w:t>
      </w:r>
      <w:r w:rsidR="00371666">
        <w:rPr>
          <w:rFonts w:cs="Arial"/>
          <w:spacing w:val="-14"/>
          <w:w w:val="80"/>
          <w:kern w:val="48"/>
        </w:rPr>
        <w:t>,</w:t>
      </w:r>
      <w:r w:rsidR="00FE6986" w:rsidRPr="00A36633">
        <w:rPr>
          <w:rFonts w:cs="Arial"/>
          <w:spacing w:val="-14"/>
          <w:w w:val="80"/>
          <w:kern w:val="48"/>
        </w:rPr>
        <w:t xml:space="preserve"> </w:t>
      </w:r>
      <w:r w:rsidR="00371666">
        <w:rPr>
          <w:rFonts w:cs="Arial"/>
          <w:spacing w:val="-14"/>
          <w:w w:val="80"/>
          <w:kern w:val="48"/>
        </w:rPr>
        <w:t>επίσης,</w:t>
      </w:r>
      <w:r w:rsidR="00FE6986" w:rsidRPr="00A36633">
        <w:rPr>
          <w:rFonts w:cs="Arial"/>
          <w:spacing w:val="-14"/>
          <w:w w:val="80"/>
          <w:kern w:val="48"/>
        </w:rPr>
        <w:t xml:space="preserve"> δεν συμμερίζεται ανησυχίες για ενδεχόμενη οικονομική βλάβη από τη διακοπή της σύμβασης, αφού το χερσαίο τερματικό έχει ολοκληρωθεί</w:t>
      </w:r>
      <w:r w:rsidR="00371666">
        <w:rPr>
          <w:rFonts w:cs="Arial"/>
          <w:spacing w:val="-14"/>
          <w:w w:val="80"/>
          <w:kern w:val="48"/>
        </w:rPr>
        <w:t>,</w:t>
      </w:r>
      <w:r w:rsidR="00FE6986" w:rsidRPr="00A36633">
        <w:rPr>
          <w:rFonts w:cs="Arial"/>
          <w:spacing w:val="-14"/>
          <w:w w:val="80"/>
          <w:kern w:val="48"/>
        </w:rPr>
        <w:t xml:space="preserve"> κατά 50%</w:t>
      </w:r>
      <w:r w:rsidR="00371666">
        <w:rPr>
          <w:rFonts w:cs="Arial"/>
          <w:spacing w:val="-14"/>
          <w:w w:val="80"/>
          <w:kern w:val="48"/>
        </w:rPr>
        <w:t>,</w:t>
      </w:r>
      <w:r w:rsidR="00FE6986" w:rsidRPr="00A36633">
        <w:rPr>
          <w:rFonts w:cs="Arial"/>
          <w:spacing w:val="-14"/>
          <w:w w:val="80"/>
          <w:kern w:val="48"/>
        </w:rPr>
        <w:t xml:space="preserve"> και η πλωτή μονάδα</w:t>
      </w:r>
      <w:r w:rsidR="00371666">
        <w:rPr>
          <w:rFonts w:cs="Arial"/>
          <w:spacing w:val="-14"/>
          <w:w w:val="80"/>
          <w:kern w:val="48"/>
        </w:rPr>
        <w:t>,</w:t>
      </w:r>
      <w:r w:rsidR="00FE6986" w:rsidRPr="00A36633">
        <w:rPr>
          <w:rFonts w:cs="Arial"/>
          <w:spacing w:val="-14"/>
          <w:w w:val="80"/>
          <w:kern w:val="48"/>
        </w:rPr>
        <w:t xml:space="preserve"> κατά 95%, γεγονός το οποίο δίνει τη δυνατότητα</w:t>
      </w:r>
      <w:r w:rsidR="00371666">
        <w:rPr>
          <w:rFonts w:cs="Arial"/>
          <w:spacing w:val="-14"/>
          <w:w w:val="80"/>
          <w:kern w:val="48"/>
        </w:rPr>
        <w:t>,</w:t>
      </w:r>
      <w:r w:rsidR="00FE6986" w:rsidRPr="00A36633">
        <w:rPr>
          <w:rFonts w:cs="Arial"/>
          <w:spacing w:val="-14"/>
          <w:w w:val="80"/>
          <w:kern w:val="48"/>
        </w:rPr>
        <w:t xml:space="preserve"> σε όποιον αναλάβει να τα συνεχίσει</w:t>
      </w:r>
      <w:r w:rsidR="00371666">
        <w:rPr>
          <w:rFonts w:cs="Arial"/>
          <w:spacing w:val="-14"/>
          <w:w w:val="80"/>
          <w:kern w:val="48"/>
        </w:rPr>
        <w:t>,</w:t>
      </w:r>
      <w:r w:rsidR="00FE6986" w:rsidRPr="00A36633">
        <w:rPr>
          <w:rFonts w:cs="Arial"/>
          <w:spacing w:val="-14"/>
          <w:w w:val="80"/>
          <w:kern w:val="48"/>
        </w:rPr>
        <w:t xml:space="preserve"> να τα ολοκληρώσει</w:t>
      </w:r>
      <w:r w:rsidR="00371666">
        <w:rPr>
          <w:rFonts w:cs="Arial"/>
          <w:spacing w:val="-14"/>
          <w:w w:val="80"/>
          <w:kern w:val="48"/>
        </w:rPr>
        <w:t>,</w:t>
      </w:r>
      <w:r w:rsidR="00FE6986" w:rsidRPr="00A36633">
        <w:rPr>
          <w:rFonts w:cs="Arial"/>
          <w:spacing w:val="-14"/>
          <w:w w:val="80"/>
          <w:kern w:val="48"/>
        </w:rPr>
        <w:t xml:space="preserve"> χωρίς σημαντικές υπερβάσεις του αρχικά εκτιμώμενου κόστους. Όπως εξήγησε</w:t>
      </w:r>
      <w:r w:rsidR="00371666">
        <w:rPr>
          <w:rFonts w:cs="Arial"/>
          <w:spacing w:val="-14"/>
          <w:w w:val="80"/>
          <w:kern w:val="48"/>
        </w:rPr>
        <w:t>,</w:t>
      </w:r>
      <w:r w:rsidR="00FE6986" w:rsidRPr="00A36633">
        <w:rPr>
          <w:rFonts w:cs="Arial"/>
          <w:spacing w:val="-14"/>
          <w:w w:val="80"/>
          <w:kern w:val="48"/>
        </w:rPr>
        <w:t xml:space="preserve"> υπάρχει στη σύμβαση ρήτρα, η οποία προνοεί ότι σε περίπτωση που η σύμβαση τερματιστεί</w:t>
      </w:r>
      <w:r w:rsidR="00371666">
        <w:rPr>
          <w:rFonts w:cs="Arial"/>
          <w:spacing w:val="-14"/>
          <w:w w:val="80"/>
          <w:kern w:val="48"/>
        </w:rPr>
        <w:t>,</w:t>
      </w:r>
      <w:r w:rsidR="00FE6986" w:rsidRPr="00A36633">
        <w:rPr>
          <w:rFonts w:cs="Arial"/>
          <w:spacing w:val="-14"/>
          <w:w w:val="80"/>
          <w:kern w:val="48"/>
        </w:rPr>
        <w:t xml:space="preserve"> από οποιοδήποτε μέρος τεκμηριωμένα, μπορεί να προχωρήσει διαφορετικά η διαδικασία, δηλ.</w:t>
      </w:r>
      <w:r w:rsidR="00371666">
        <w:rPr>
          <w:rFonts w:cs="Arial"/>
          <w:spacing w:val="-14"/>
          <w:w w:val="80"/>
          <w:kern w:val="48"/>
        </w:rPr>
        <w:t>,</w:t>
      </w:r>
      <w:r w:rsidR="00FE6986" w:rsidRPr="00A36633">
        <w:rPr>
          <w:rFonts w:cs="Arial"/>
          <w:spacing w:val="-14"/>
          <w:w w:val="80"/>
          <w:kern w:val="48"/>
        </w:rPr>
        <w:t xml:space="preserve"> χωρίς, να πρέπει να ξεκινήσουν</w:t>
      </w:r>
      <w:r w:rsidR="00371666">
        <w:rPr>
          <w:rFonts w:cs="Arial"/>
          <w:spacing w:val="-14"/>
          <w:w w:val="80"/>
          <w:kern w:val="48"/>
        </w:rPr>
        <w:t>,</w:t>
      </w:r>
      <w:r w:rsidR="00FE6986" w:rsidRPr="00A36633">
        <w:rPr>
          <w:rFonts w:cs="Arial"/>
          <w:spacing w:val="-14"/>
          <w:w w:val="80"/>
          <w:kern w:val="48"/>
        </w:rPr>
        <w:t xml:space="preserve"> όλα από την αρχή. Ανέφερε</w:t>
      </w:r>
      <w:r w:rsidR="00371666">
        <w:rPr>
          <w:rFonts w:cs="Arial"/>
          <w:spacing w:val="-14"/>
          <w:w w:val="80"/>
          <w:kern w:val="48"/>
        </w:rPr>
        <w:t>,</w:t>
      </w:r>
      <w:r w:rsidR="00FE6986" w:rsidRPr="00A36633">
        <w:rPr>
          <w:rFonts w:cs="Arial"/>
          <w:spacing w:val="-14"/>
          <w:w w:val="80"/>
          <w:kern w:val="48"/>
        </w:rPr>
        <w:t xml:space="preserve"> </w:t>
      </w:r>
      <w:r w:rsidR="00371666">
        <w:rPr>
          <w:rFonts w:cs="Arial"/>
          <w:spacing w:val="-14"/>
          <w:w w:val="80"/>
          <w:kern w:val="48"/>
        </w:rPr>
        <w:t>επίσης,</w:t>
      </w:r>
      <w:r w:rsidR="00FE6986" w:rsidRPr="00A36633">
        <w:rPr>
          <w:rFonts w:cs="Arial"/>
          <w:spacing w:val="-14"/>
          <w:w w:val="80"/>
          <w:kern w:val="48"/>
        </w:rPr>
        <w:t xml:space="preserve"> ότι η σύμβαση παραμένει σε λειτουργία για εκείνες τις ρήτρες, που ισχύουν</w:t>
      </w:r>
      <w:r w:rsidR="00371666">
        <w:rPr>
          <w:rFonts w:cs="Arial"/>
          <w:spacing w:val="-14"/>
          <w:w w:val="80"/>
          <w:kern w:val="48"/>
        </w:rPr>
        <w:t>,</w:t>
      </w:r>
      <w:r w:rsidR="00FE6986" w:rsidRPr="00A36633">
        <w:rPr>
          <w:rFonts w:cs="Arial"/>
          <w:spacing w:val="-14"/>
          <w:w w:val="80"/>
          <w:kern w:val="48"/>
        </w:rPr>
        <w:t xml:space="preserve"> μετά τον τερματισμό. Υπενθυμίζουμε ότι η κινεζική κοινοπραξία σταμάτησε τις εργασίες στον τερματικό σταθμό</w:t>
      </w:r>
      <w:r w:rsidR="00371666">
        <w:rPr>
          <w:rFonts w:cs="Arial"/>
          <w:spacing w:val="-14"/>
          <w:w w:val="80"/>
          <w:kern w:val="48"/>
        </w:rPr>
        <w:t>,</w:t>
      </w:r>
      <w:r w:rsidR="00FE6986" w:rsidRPr="00A36633">
        <w:rPr>
          <w:rFonts w:cs="Arial"/>
          <w:spacing w:val="-14"/>
          <w:w w:val="80"/>
          <w:kern w:val="48"/>
        </w:rPr>
        <w:t xml:space="preserve"> προ δύο εβδομάδων</w:t>
      </w:r>
      <w:r w:rsidR="00371666">
        <w:rPr>
          <w:rFonts w:cs="Arial"/>
          <w:spacing w:val="-14"/>
          <w:w w:val="80"/>
          <w:kern w:val="48"/>
        </w:rPr>
        <w:t>,</w:t>
      </w:r>
      <w:r w:rsidR="00FE6986" w:rsidRPr="00A36633">
        <w:rPr>
          <w:rFonts w:cs="Arial"/>
          <w:spacing w:val="-14"/>
          <w:w w:val="80"/>
          <w:kern w:val="48"/>
        </w:rPr>
        <w:t xml:space="preserve"> περίπου </w:t>
      </w:r>
      <w:r w:rsidR="00371666">
        <w:rPr>
          <w:rFonts w:cs="Arial"/>
          <w:spacing w:val="-14"/>
          <w:w w:val="80"/>
          <w:kern w:val="48"/>
        </w:rPr>
        <w:t>,</w:t>
      </w:r>
      <w:r w:rsidR="00FE6986" w:rsidRPr="00A36633">
        <w:rPr>
          <w:rFonts w:cs="Arial"/>
          <w:spacing w:val="-14"/>
          <w:w w:val="80"/>
          <w:kern w:val="48"/>
        </w:rPr>
        <w:t>και υπέβαλε αίτημα</w:t>
      </w:r>
      <w:r w:rsidR="00371666">
        <w:rPr>
          <w:rFonts w:cs="Arial"/>
          <w:spacing w:val="-14"/>
          <w:w w:val="80"/>
          <w:kern w:val="48"/>
        </w:rPr>
        <w:t xml:space="preserve"> για πρόσθετη αποζημίωση 200 εκ</w:t>
      </w:r>
      <w:r w:rsidR="00FE6986" w:rsidRPr="00A36633">
        <w:rPr>
          <w:rFonts w:cs="Arial"/>
          <w:spacing w:val="-14"/>
          <w:w w:val="80"/>
          <w:kern w:val="48"/>
        </w:rPr>
        <w:t xml:space="preserve">. Ευρώ, αίτημα, το οποίο η Κυπριακή Δημοκρατία θεωρεί απαράδεκτο. </w:t>
      </w:r>
    </w:p>
    <w:p w:rsidR="005068BE" w:rsidRDefault="005068BE" w:rsidP="005068BE">
      <w:pPr>
        <w:spacing w:after="0" w:line="220" w:lineRule="exact"/>
        <w:ind w:left="284"/>
        <w:jc w:val="both"/>
        <w:outlineLvl w:val="0"/>
        <w:rPr>
          <w:rFonts w:cs="Arial"/>
          <w:spacing w:val="-14"/>
          <w:w w:val="80"/>
          <w:kern w:val="48"/>
        </w:rPr>
      </w:pPr>
      <w:r>
        <w:rPr>
          <w:rFonts w:cs="Arial"/>
          <w:spacing w:val="-14"/>
          <w:w w:val="80"/>
          <w:kern w:val="48"/>
        </w:rPr>
        <w:t xml:space="preserve">      </w:t>
      </w:r>
      <w:r w:rsidR="00FE6986" w:rsidRPr="00A36633">
        <w:rPr>
          <w:rFonts w:cs="Arial"/>
          <w:spacing w:val="-14"/>
          <w:w w:val="80"/>
          <w:kern w:val="48"/>
        </w:rPr>
        <w:t>Τέλος</w:t>
      </w:r>
      <w:r w:rsidR="00371666">
        <w:rPr>
          <w:rFonts w:cs="Arial"/>
          <w:spacing w:val="-14"/>
          <w:w w:val="80"/>
          <w:kern w:val="48"/>
        </w:rPr>
        <w:t>,</w:t>
      </w:r>
      <w:r w:rsidR="00FE6986" w:rsidRPr="00A36633">
        <w:rPr>
          <w:rFonts w:cs="Arial"/>
          <w:spacing w:val="-14"/>
          <w:w w:val="80"/>
          <w:kern w:val="48"/>
        </w:rPr>
        <w:t xml:space="preserve"> ο κ. Παπαναστασίου προανήγγειλε την ανακοίνωση</w:t>
      </w:r>
      <w:r w:rsidR="00371666">
        <w:rPr>
          <w:rFonts w:cs="Arial"/>
          <w:spacing w:val="-14"/>
          <w:w w:val="80"/>
          <w:kern w:val="48"/>
        </w:rPr>
        <w:t>,</w:t>
      </w:r>
      <w:r w:rsidR="00FE6986" w:rsidRPr="00A36633">
        <w:rPr>
          <w:rFonts w:cs="Arial"/>
          <w:spacing w:val="-14"/>
          <w:w w:val="80"/>
          <w:kern w:val="48"/>
        </w:rPr>
        <w:t xml:space="preserve"> εκ μέρους της ΕΝΙ</w:t>
      </w:r>
      <w:r w:rsidR="00371666">
        <w:rPr>
          <w:rFonts w:cs="Arial"/>
          <w:spacing w:val="-14"/>
          <w:w w:val="80"/>
          <w:kern w:val="48"/>
        </w:rPr>
        <w:t>,</w:t>
      </w:r>
      <w:r w:rsidR="00FE6986" w:rsidRPr="00A36633">
        <w:rPr>
          <w:rFonts w:cs="Arial"/>
          <w:spacing w:val="-14"/>
          <w:w w:val="80"/>
          <w:kern w:val="48"/>
        </w:rPr>
        <w:t xml:space="preserve"> εντός του αμέσως προσεχούς διαστήματος της εξεύρεσης πολύ μεγάλου κοιτάσματος, μετά από την επιβεβαιωτική γεώτρηση στους ταμιευτήρες του Κρόν</w:t>
      </w:r>
      <w:r w:rsidR="00371666">
        <w:rPr>
          <w:rFonts w:cs="Arial"/>
          <w:spacing w:val="-14"/>
          <w:w w:val="80"/>
          <w:kern w:val="48"/>
        </w:rPr>
        <w:t>ος 1 και 2 στο τεμάχιο 6 της κ/</w:t>
      </w:r>
      <w:r w:rsidR="00FE6986" w:rsidRPr="00A36633">
        <w:rPr>
          <w:rFonts w:cs="Arial"/>
          <w:spacing w:val="-14"/>
          <w:w w:val="80"/>
          <w:kern w:val="48"/>
        </w:rPr>
        <w:t>ΑΟΖ. Πρόσθεσε ότι υπάρχει σύνδεση των δυο ταμιευτήρων, κάτι που συνεπάγεται πλούσιο σε ποιότητα φυσικό αέριο και εκτίμησε ότι</w:t>
      </w:r>
      <w:r w:rsidR="00371666">
        <w:rPr>
          <w:rFonts w:cs="Arial"/>
          <w:spacing w:val="-14"/>
          <w:w w:val="80"/>
          <w:kern w:val="48"/>
        </w:rPr>
        <w:t>,</w:t>
      </w:r>
      <w:r w:rsidR="00FE6986" w:rsidRPr="00A36633">
        <w:rPr>
          <w:rFonts w:cs="Arial"/>
          <w:spacing w:val="-14"/>
          <w:w w:val="80"/>
          <w:kern w:val="48"/>
        </w:rPr>
        <w:t xml:space="preserve"> μέχρι το 2027</w:t>
      </w:r>
      <w:r w:rsidR="00371666">
        <w:rPr>
          <w:rFonts w:cs="Arial"/>
          <w:spacing w:val="-14"/>
          <w:w w:val="80"/>
          <w:kern w:val="48"/>
        </w:rPr>
        <w:t>,</w:t>
      </w:r>
      <w:r w:rsidR="00FE6986" w:rsidRPr="00A36633">
        <w:rPr>
          <w:rFonts w:cs="Arial"/>
          <w:spacing w:val="-14"/>
          <w:w w:val="80"/>
          <w:kern w:val="48"/>
        </w:rPr>
        <w:t xml:space="preserve"> η Κύπρος θα είναι σε θέση να αντλήσει φυσικό αέριο από αυτά τα κοιτάσματα</w:t>
      </w:r>
      <w:r>
        <w:rPr>
          <w:rFonts w:cs="Arial"/>
          <w:spacing w:val="-14"/>
          <w:w w:val="80"/>
          <w:kern w:val="48"/>
        </w:rPr>
        <w:t>.</w:t>
      </w:r>
    </w:p>
    <w:p w:rsidR="005068BE" w:rsidRDefault="005068BE" w:rsidP="005068BE">
      <w:pPr>
        <w:spacing w:after="0" w:line="220" w:lineRule="exact"/>
        <w:ind w:left="284"/>
        <w:jc w:val="both"/>
        <w:outlineLvl w:val="0"/>
        <w:rPr>
          <w:rFonts w:cs="Arial"/>
          <w:b/>
          <w:color w:val="0070C0"/>
          <w:spacing w:val="-14"/>
          <w:w w:val="80"/>
          <w:kern w:val="48"/>
        </w:rPr>
      </w:pPr>
    </w:p>
    <w:p w:rsidR="005068BE" w:rsidRDefault="00D663A8" w:rsidP="005068BE">
      <w:pPr>
        <w:spacing w:after="0" w:line="220" w:lineRule="exact"/>
        <w:ind w:left="284"/>
        <w:jc w:val="both"/>
        <w:outlineLvl w:val="0"/>
        <w:rPr>
          <w:rFonts w:cs="Arial"/>
          <w:b/>
          <w:color w:val="0070C0"/>
          <w:spacing w:val="-14"/>
          <w:w w:val="80"/>
          <w:kern w:val="48"/>
        </w:rPr>
      </w:pPr>
      <w:r w:rsidRPr="00B77D7A">
        <w:rPr>
          <w:rFonts w:cs="Arial"/>
          <w:b/>
          <w:color w:val="0070C0"/>
          <w:spacing w:val="-14"/>
          <w:w w:val="80"/>
          <w:kern w:val="48"/>
        </w:rPr>
        <w:t>6.</w:t>
      </w:r>
      <w:r w:rsidR="007B2D92" w:rsidRPr="00B77D7A">
        <w:rPr>
          <w:rFonts w:cs="Arial"/>
          <w:b/>
          <w:color w:val="0070C0"/>
          <w:spacing w:val="-14"/>
          <w:w w:val="80"/>
          <w:kern w:val="48"/>
        </w:rPr>
        <w:t>.</w:t>
      </w:r>
      <w:r w:rsidRPr="00B77D7A">
        <w:rPr>
          <w:rFonts w:cs="Arial"/>
          <w:b/>
          <w:color w:val="0070C0"/>
          <w:spacing w:val="-14"/>
          <w:w w:val="80"/>
          <w:kern w:val="48"/>
        </w:rPr>
        <w:t>4</w:t>
      </w:r>
      <w:r w:rsidR="007B2D92" w:rsidRPr="00B77D7A">
        <w:rPr>
          <w:rFonts w:cs="Arial"/>
          <w:b/>
          <w:color w:val="0070C0"/>
          <w:spacing w:val="-14"/>
          <w:w w:val="80"/>
          <w:kern w:val="48"/>
        </w:rPr>
        <w:t xml:space="preserve">  </w:t>
      </w:r>
      <w:r w:rsidR="00352CB4" w:rsidRPr="00B77D7A">
        <w:rPr>
          <w:rFonts w:cs="Arial"/>
          <w:b/>
          <w:color w:val="0070C0"/>
          <w:spacing w:val="-14"/>
          <w:w w:val="80"/>
          <w:kern w:val="48"/>
        </w:rPr>
        <w:t xml:space="preserve">Έγερση αξίωσης αποζημίωσης εκ μέρους κινεζικής εταιρίας </w:t>
      </w:r>
      <w:r w:rsidR="00352CB4" w:rsidRPr="00B77D7A">
        <w:rPr>
          <w:rFonts w:cs="Arial"/>
          <w:b/>
          <w:color w:val="0070C0"/>
          <w:spacing w:val="-14"/>
          <w:w w:val="80"/>
          <w:kern w:val="48"/>
          <w:lang w:val="en-US"/>
        </w:rPr>
        <w:t>CCP</w:t>
      </w:r>
      <w:r w:rsidR="00352CB4" w:rsidRPr="00B77D7A">
        <w:rPr>
          <w:rFonts w:cs="Arial"/>
          <w:b/>
          <w:color w:val="0070C0"/>
          <w:spacing w:val="-14"/>
          <w:w w:val="80"/>
          <w:kern w:val="48"/>
        </w:rPr>
        <w:t xml:space="preserve"> έναντι κυπριακού δημοσίου για το έργο του σταθμού φ/α στο Βασιλικό (Λεμεσός)</w:t>
      </w:r>
    </w:p>
    <w:p w:rsidR="005068BE" w:rsidRDefault="005068BE" w:rsidP="005068BE">
      <w:pPr>
        <w:spacing w:after="0" w:line="220" w:lineRule="exact"/>
        <w:ind w:left="284"/>
        <w:jc w:val="both"/>
        <w:outlineLvl w:val="0"/>
        <w:rPr>
          <w:rFonts w:cs="Arial"/>
          <w:spacing w:val="-14"/>
          <w:w w:val="80"/>
          <w:kern w:val="48"/>
        </w:rPr>
      </w:pPr>
      <w:r>
        <w:rPr>
          <w:rFonts w:cs="Arial"/>
          <w:b/>
          <w:color w:val="0070C0"/>
          <w:spacing w:val="-14"/>
          <w:w w:val="80"/>
          <w:kern w:val="48"/>
        </w:rPr>
        <w:t xml:space="preserve">      </w:t>
      </w:r>
      <w:r w:rsidR="00352CB4" w:rsidRPr="00A36633">
        <w:rPr>
          <w:rFonts w:cs="Arial"/>
          <w:bCs/>
          <w:spacing w:val="-14"/>
          <w:w w:val="80"/>
          <w:kern w:val="48"/>
        </w:rPr>
        <w:t>Αποζημίωση</w:t>
      </w:r>
      <w:r w:rsidR="00371666">
        <w:rPr>
          <w:rFonts w:cs="Arial"/>
          <w:bCs/>
          <w:spacing w:val="-14"/>
          <w:w w:val="80"/>
          <w:kern w:val="48"/>
        </w:rPr>
        <w:t>,</w:t>
      </w:r>
      <w:r w:rsidR="00352CB4" w:rsidRPr="00A36633">
        <w:rPr>
          <w:rFonts w:cs="Arial"/>
          <w:bCs/>
          <w:spacing w:val="-14"/>
          <w:w w:val="80"/>
          <w:kern w:val="48"/>
        </w:rPr>
        <w:t xml:space="preserve"> ύψους 200 εκ. Ευρώ από την Κυπριακή Δημοκρατία ζητεί η κινεζική κοινοπραξία (</w:t>
      </w:r>
      <w:r w:rsidR="00352CB4" w:rsidRPr="00A36633">
        <w:rPr>
          <w:rFonts w:cs="Arial"/>
          <w:bCs/>
          <w:spacing w:val="-14"/>
          <w:w w:val="80"/>
          <w:kern w:val="48"/>
          <w:lang w:val="en-US"/>
        </w:rPr>
        <w:t>CCP</w:t>
      </w:r>
      <w:r w:rsidR="00352CB4" w:rsidRPr="00A36633">
        <w:rPr>
          <w:rFonts w:cs="Arial"/>
          <w:bCs/>
          <w:spacing w:val="-14"/>
          <w:w w:val="80"/>
          <w:kern w:val="48"/>
        </w:rPr>
        <w:t>), η οποία έχει αναλάβει την κατασκευή του σταθμού φυσικού αερίου στο Βασιλικό</w:t>
      </w:r>
      <w:r w:rsidR="00371666">
        <w:rPr>
          <w:rFonts w:cs="Arial"/>
          <w:bCs/>
          <w:spacing w:val="-14"/>
          <w:w w:val="80"/>
          <w:kern w:val="48"/>
        </w:rPr>
        <w:t>,</w:t>
      </w:r>
      <w:r w:rsidR="00352CB4" w:rsidRPr="00A36633">
        <w:rPr>
          <w:rFonts w:cs="Arial"/>
          <w:bCs/>
          <w:spacing w:val="-14"/>
          <w:w w:val="80"/>
          <w:kern w:val="48"/>
        </w:rPr>
        <w:t xml:space="preserve"> μετά από καθυστέρηση περίπου 4 ετών. </w:t>
      </w:r>
      <w:r w:rsidR="00352CB4" w:rsidRPr="00A36633">
        <w:rPr>
          <w:rFonts w:cs="Arial"/>
          <w:spacing w:val="-14"/>
          <w:w w:val="80"/>
          <w:kern w:val="48"/>
        </w:rPr>
        <w:t xml:space="preserve">Σύμφωνα με τον κυβερνητικό Εκπρόσωπο κ. Κ. </w:t>
      </w:r>
      <w:proofErr w:type="spellStart"/>
      <w:r w:rsidR="00352CB4" w:rsidRPr="00A36633">
        <w:rPr>
          <w:rFonts w:cs="Arial"/>
          <w:spacing w:val="-14"/>
          <w:w w:val="80"/>
          <w:kern w:val="48"/>
        </w:rPr>
        <w:t>Λετυμπιώτη</w:t>
      </w:r>
      <w:proofErr w:type="spellEnd"/>
      <w:r w:rsidR="00352CB4" w:rsidRPr="00A36633">
        <w:rPr>
          <w:rFonts w:cs="Arial"/>
          <w:spacing w:val="-14"/>
          <w:w w:val="80"/>
          <w:kern w:val="48"/>
        </w:rPr>
        <w:t>, η κοινοπραξία, η οποία ξεκίνησε τη διαδικασία</w:t>
      </w:r>
      <w:r w:rsidR="00371666">
        <w:rPr>
          <w:rFonts w:cs="Arial"/>
          <w:spacing w:val="-14"/>
          <w:w w:val="80"/>
          <w:kern w:val="48"/>
        </w:rPr>
        <w:t>,</w:t>
      </w:r>
      <w:r w:rsidR="00352CB4" w:rsidRPr="00A36633">
        <w:rPr>
          <w:rFonts w:cs="Arial"/>
          <w:spacing w:val="-14"/>
          <w:w w:val="80"/>
          <w:kern w:val="48"/>
        </w:rPr>
        <w:t xml:space="preserve"> το 2022</w:t>
      </w:r>
      <w:r w:rsidR="00371666">
        <w:rPr>
          <w:rFonts w:cs="Arial"/>
          <w:spacing w:val="-14"/>
          <w:w w:val="80"/>
          <w:kern w:val="48"/>
        </w:rPr>
        <w:t>,</w:t>
      </w:r>
      <w:r w:rsidR="00352CB4" w:rsidRPr="00A36633">
        <w:rPr>
          <w:rFonts w:cs="Arial"/>
          <w:spacing w:val="-14"/>
          <w:w w:val="80"/>
          <w:kern w:val="48"/>
        </w:rPr>
        <w:t xml:space="preserve"> κατέθεσε</w:t>
      </w:r>
      <w:r w:rsidR="00371666">
        <w:rPr>
          <w:rFonts w:cs="Arial"/>
          <w:spacing w:val="-14"/>
          <w:w w:val="80"/>
          <w:kern w:val="48"/>
        </w:rPr>
        <w:t>,</w:t>
      </w:r>
      <w:r w:rsidR="00352CB4" w:rsidRPr="00A36633">
        <w:rPr>
          <w:rFonts w:cs="Arial"/>
          <w:spacing w:val="-14"/>
          <w:w w:val="80"/>
          <w:kern w:val="48"/>
        </w:rPr>
        <w:t xml:space="preserve"> στις 31.3. </w:t>
      </w:r>
      <w:proofErr w:type="spellStart"/>
      <w:r w:rsidR="00352CB4" w:rsidRPr="00A36633">
        <w:rPr>
          <w:rFonts w:cs="Arial"/>
          <w:spacing w:val="-14"/>
          <w:w w:val="80"/>
          <w:kern w:val="48"/>
        </w:rPr>
        <w:t>τ.έ</w:t>
      </w:r>
      <w:proofErr w:type="spellEnd"/>
      <w:r w:rsidR="00371666">
        <w:rPr>
          <w:rFonts w:cs="Arial"/>
          <w:spacing w:val="-14"/>
          <w:w w:val="80"/>
          <w:kern w:val="48"/>
        </w:rPr>
        <w:t>.,</w:t>
      </w:r>
      <w:r w:rsidR="00352CB4" w:rsidRPr="00A36633">
        <w:rPr>
          <w:rFonts w:cs="Arial"/>
          <w:spacing w:val="-14"/>
          <w:w w:val="80"/>
          <w:kern w:val="48"/>
        </w:rPr>
        <w:t xml:space="preserve"> δήλωση απαιτήσεων (</w:t>
      </w:r>
      <w:proofErr w:type="spellStart"/>
      <w:r w:rsidR="00352CB4" w:rsidRPr="00A36633">
        <w:rPr>
          <w:rFonts w:cs="Arial"/>
          <w:spacing w:val="-14"/>
          <w:w w:val="80"/>
          <w:kern w:val="48"/>
        </w:rPr>
        <w:t>statement</w:t>
      </w:r>
      <w:proofErr w:type="spellEnd"/>
      <w:r w:rsidR="00352CB4" w:rsidRPr="00A36633">
        <w:rPr>
          <w:rFonts w:cs="Arial"/>
          <w:spacing w:val="-14"/>
          <w:w w:val="80"/>
          <w:kern w:val="48"/>
        </w:rPr>
        <w:t xml:space="preserve"> </w:t>
      </w:r>
      <w:proofErr w:type="spellStart"/>
      <w:r w:rsidR="00352CB4" w:rsidRPr="00A36633">
        <w:rPr>
          <w:rFonts w:cs="Arial"/>
          <w:spacing w:val="-14"/>
          <w:w w:val="80"/>
          <w:kern w:val="48"/>
        </w:rPr>
        <w:t>of</w:t>
      </w:r>
      <w:proofErr w:type="spellEnd"/>
      <w:r w:rsidR="00352CB4" w:rsidRPr="00A36633">
        <w:rPr>
          <w:rFonts w:cs="Arial"/>
          <w:spacing w:val="-14"/>
          <w:w w:val="80"/>
          <w:kern w:val="48"/>
        </w:rPr>
        <w:t xml:space="preserve"> </w:t>
      </w:r>
      <w:proofErr w:type="spellStart"/>
      <w:r w:rsidR="00352CB4" w:rsidRPr="00A36633">
        <w:rPr>
          <w:rFonts w:cs="Arial"/>
          <w:spacing w:val="-14"/>
          <w:w w:val="80"/>
          <w:kern w:val="48"/>
        </w:rPr>
        <w:t>claim</w:t>
      </w:r>
      <w:proofErr w:type="spellEnd"/>
      <w:r w:rsidR="00352CB4" w:rsidRPr="00A36633">
        <w:rPr>
          <w:rFonts w:cs="Arial"/>
          <w:spacing w:val="-14"/>
          <w:w w:val="80"/>
          <w:kern w:val="48"/>
        </w:rPr>
        <w:t>) στο Διεθνές Διαιτητικό Δικαστήριο του Λονδίνου (</w:t>
      </w:r>
      <w:proofErr w:type="spellStart"/>
      <w:r w:rsidR="00352CB4" w:rsidRPr="00A36633">
        <w:rPr>
          <w:rFonts w:cs="Arial"/>
          <w:spacing w:val="-14"/>
          <w:w w:val="80"/>
          <w:kern w:val="48"/>
        </w:rPr>
        <w:t>London</w:t>
      </w:r>
      <w:proofErr w:type="spellEnd"/>
      <w:r w:rsidR="00352CB4" w:rsidRPr="00A36633">
        <w:rPr>
          <w:rFonts w:cs="Arial"/>
          <w:spacing w:val="-14"/>
          <w:w w:val="80"/>
          <w:kern w:val="48"/>
        </w:rPr>
        <w:t xml:space="preserve"> </w:t>
      </w:r>
      <w:proofErr w:type="spellStart"/>
      <w:r w:rsidR="00352CB4" w:rsidRPr="00A36633">
        <w:rPr>
          <w:rFonts w:cs="Arial"/>
          <w:spacing w:val="-14"/>
          <w:w w:val="80"/>
          <w:kern w:val="48"/>
        </w:rPr>
        <w:t>Court</w:t>
      </w:r>
      <w:proofErr w:type="spellEnd"/>
      <w:r w:rsidR="00352CB4" w:rsidRPr="00A36633">
        <w:rPr>
          <w:rFonts w:cs="Arial"/>
          <w:spacing w:val="-14"/>
          <w:w w:val="80"/>
          <w:kern w:val="48"/>
        </w:rPr>
        <w:t xml:space="preserve"> </w:t>
      </w:r>
      <w:proofErr w:type="spellStart"/>
      <w:r w:rsidR="00352CB4" w:rsidRPr="00A36633">
        <w:rPr>
          <w:rFonts w:cs="Arial"/>
          <w:spacing w:val="-14"/>
          <w:w w:val="80"/>
          <w:kern w:val="48"/>
        </w:rPr>
        <w:t>of</w:t>
      </w:r>
      <w:proofErr w:type="spellEnd"/>
      <w:r w:rsidR="00352CB4" w:rsidRPr="00A36633">
        <w:rPr>
          <w:rFonts w:cs="Arial"/>
          <w:spacing w:val="-14"/>
          <w:w w:val="80"/>
          <w:kern w:val="48"/>
        </w:rPr>
        <w:t xml:space="preserve"> </w:t>
      </w:r>
      <w:proofErr w:type="spellStart"/>
      <w:r w:rsidR="00352CB4" w:rsidRPr="00A36633">
        <w:rPr>
          <w:rFonts w:cs="Arial"/>
          <w:spacing w:val="-14"/>
          <w:w w:val="80"/>
          <w:kern w:val="48"/>
        </w:rPr>
        <w:t>International</w:t>
      </w:r>
      <w:proofErr w:type="spellEnd"/>
      <w:r w:rsidR="00352CB4" w:rsidRPr="00A36633">
        <w:rPr>
          <w:rFonts w:cs="Arial"/>
          <w:spacing w:val="-14"/>
          <w:w w:val="80"/>
          <w:kern w:val="48"/>
        </w:rPr>
        <w:t xml:space="preserve"> </w:t>
      </w:r>
      <w:proofErr w:type="spellStart"/>
      <w:r w:rsidR="00352CB4" w:rsidRPr="00A36633">
        <w:rPr>
          <w:rFonts w:cs="Arial"/>
          <w:spacing w:val="-14"/>
          <w:w w:val="80"/>
          <w:kern w:val="48"/>
        </w:rPr>
        <w:t>Arbitration</w:t>
      </w:r>
      <w:proofErr w:type="spellEnd"/>
      <w:r w:rsidR="00352CB4" w:rsidRPr="00A36633">
        <w:rPr>
          <w:rFonts w:cs="Arial"/>
          <w:spacing w:val="-14"/>
          <w:w w:val="80"/>
          <w:kern w:val="48"/>
        </w:rPr>
        <w:t>). Μάλιστα</w:t>
      </w:r>
      <w:r w:rsidR="00371666">
        <w:rPr>
          <w:rFonts w:cs="Arial"/>
          <w:spacing w:val="-14"/>
          <w:w w:val="80"/>
          <w:kern w:val="48"/>
        </w:rPr>
        <w:t>,</w:t>
      </w:r>
      <w:r w:rsidR="00352CB4" w:rsidRPr="00A36633">
        <w:rPr>
          <w:rFonts w:cs="Arial"/>
          <w:spacing w:val="-14"/>
          <w:w w:val="80"/>
          <w:kern w:val="48"/>
        </w:rPr>
        <w:t xml:space="preserve"> οι εργασίες για την κατασκευή του τερματικού έχουν διακοπεί</w:t>
      </w:r>
      <w:r w:rsidR="00371666">
        <w:rPr>
          <w:rFonts w:cs="Arial"/>
          <w:spacing w:val="-14"/>
          <w:w w:val="80"/>
          <w:kern w:val="48"/>
        </w:rPr>
        <w:t>,</w:t>
      </w:r>
      <w:r w:rsidR="00352CB4" w:rsidRPr="00A36633">
        <w:rPr>
          <w:rFonts w:cs="Arial"/>
          <w:spacing w:val="-14"/>
          <w:w w:val="80"/>
          <w:kern w:val="48"/>
        </w:rPr>
        <w:t xml:space="preserve"> από την Παρασκευή 26.1. </w:t>
      </w:r>
      <w:proofErr w:type="spellStart"/>
      <w:r w:rsidR="00352CB4" w:rsidRPr="00A36633">
        <w:rPr>
          <w:rFonts w:cs="Arial"/>
          <w:spacing w:val="-14"/>
          <w:w w:val="80"/>
          <w:kern w:val="48"/>
        </w:rPr>
        <w:t>τ.έ</w:t>
      </w:r>
      <w:proofErr w:type="spellEnd"/>
      <w:r w:rsidR="00352CB4" w:rsidRPr="00A36633">
        <w:rPr>
          <w:rFonts w:cs="Arial"/>
          <w:spacing w:val="-14"/>
          <w:w w:val="80"/>
          <w:kern w:val="48"/>
        </w:rPr>
        <w:t>.</w:t>
      </w:r>
      <w:r w:rsidR="00371666">
        <w:rPr>
          <w:rFonts w:cs="Arial"/>
          <w:spacing w:val="-14"/>
          <w:w w:val="80"/>
          <w:kern w:val="48"/>
        </w:rPr>
        <w:t>.</w:t>
      </w:r>
      <w:r w:rsidR="00352CB4" w:rsidRPr="00A36633">
        <w:rPr>
          <w:rFonts w:cs="Arial"/>
          <w:spacing w:val="-14"/>
          <w:w w:val="80"/>
          <w:kern w:val="48"/>
        </w:rPr>
        <w:t xml:space="preserve"> Το αίτημα</w:t>
      </w:r>
      <w:r w:rsidR="00371666">
        <w:rPr>
          <w:rFonts w:cs="Arial"/>
          <w:spacing w:val="-14"/>
          <w:w w:val="80"/>
          <w:kern w:val="48"/>
        </w:rPr>
        <w:t xml:space="preserve"> για την αποζημίωση των 200 εκ</w:t>
      </w:r>
      <w:r w:rsidR="00352CB4" w:rsidRPr="00A36633">
        <w:rPr>
          <w:rFonts w:cs="Arial"/>
          <w:spacing w:val="-14"/>
          <w:w w:val="80"/>
          <w:kern w:val="48"/>
        </w:rPr>
        <w:t xml:space="preserve">. Ευρώ αφορά σε </w:t>
      </w:r>
      <w:r w:rsidR="00352CB4" w:rsidRPr="00A36633">
        <w:rPr>
          <w:rFonts w:cs="Arial"/>
          <w:spacing w:val="-14"/>
          <w:w w:val="80"/>
          <w:kern w:val="48"/>
          <w:u w:val="single"/>
        </w:rPr>
        <w:t>καθυστερήσεις πληρωμών/διαφωνία</w:t>
      </w:r>
      <w:r w:rsidR="00371666">
        <w:rPr>
          <w:rFonts w:cs="Arial"/>
          <w:spacing w:val="-14"/>
          <w:w w:val="80"/>
          <w:kern w:val="48"/>
          <w:u w:val="single"/>
        </w:rPr>
        <w:t>,</w:t>
      </w:r>
      <w:r w:rsidR="00352CB4" w:rsidRPr="00A36633">
        <w:rPr>
          <w:rFonts w:cs="Arial"/>
          <w:spacing w:val="-14"/>
          <w:w w:val="80"/>
          <w:kern w:val="48"/>
          <w:u w:val="single"/>
        </w:rPr>
        <w:t xml:space="preserve"> ως προς το χρονοδιάγραμμα καταβολής των πληρωμών</w:t>
      </w:r>
      <w:r>
        <w:rPr>
          <w:rFonts w:cs="Arial"/>
          <w:spacing w:val="-14"/>
          <w:w w:val="80"/>
          <w:kern w:val="48"/>
        </w:rPr>
        <w:t xml:space="preserve"> προς την κοινοπραξία.</w:t>
      </w:r>
    </w:p>
    <w:p w:rsidR="005068BE" w:rsidRDefault="005068BE" w:rsidP="005068BE">
      <w:pPr>
        <w:spacing w:after="0" w:line="220" w:lineRule="exact"/>
        <w:ind w:left="284"/>
        <w:jc w:val="both"/>
        <w:outlineLvl w:val="0"/>
        <w:rPr>
          <w:rFonts w:cs="Arial"/>
          <w:spacing w:val="-14"/>
          <w:w w:val="80"/>
          <w:kern w:val="48"/>
        </w:rPr>
      </w:pPr>
      <w:r>
        <w:rPr>
          <w:rFonts w:cs="Arial"/>
          <w:spacing w:val="-14"/>
          <w:w w:val="80"/>
          <w:kern w:val="48"/>
        </w:rPr>
        <w:t xml:space="preserve">      </w:t>
      </w:r>
      <w:r w:rsidR="00352CB4" w:rsidRPr="00A36633">
        <w:rPr>
          <w:rFonts w:cs="Arial"/>
          <w:spacing w:val="-14"/>
          <w:w w:val="80"/>
          <w:kern w:val="48"/>
        </w:rPr>
        <w:t>Σύμφωνα με τον Πρόεδρο της ΔΕΦΑ</w:t>
      </w:r>
      <w:r w:rsidR="00371666">
        <w:rPr>
          <w:rFonts w:cs="Arial"/>
          <w:spacing w:val="-14"/>
          <w:w w:val="80"/>
          <w:kern w:val="48"/>
        </w:rPr>
        <w:t>,</w:t>
      </w:r>
      <w:r w:rsidR="00352CB4" w:rsidRPr="00A36633">
        <w:rPr>
          <w:rFonts w:cs="Arial"/>
          <w:spacing w:val="-14"/>
          <w:w w:val="80"/>
          <w:kern w:val="48"/>
        </w:rPr>
        <w:t xml:space="preserve"> κ. Α. </w:t>
      </w:r>
      <w:proofErr w:type="spellStart"/>
      <w:r w:rsidR="00352CB4" w:rsidRPr="00A36633">
        <w:rPr>
          <w:rFonts w:cs="Arial"/>
          <w:spacing w:val="-14"/>
          <w:w w:val="80"/>
          <w:kern w:val="48"/>
        </w:rPr>
        <w:t>Πατσαλή</w:t>
      </w:r>
      <w:proofErr w:type="spellEnd"/>
      <w:r w:rsidR="00371666">
        <w:rPr>
          <w:rFonts w:cs="Arial"/>
          <w:spacing w:val="-14"/>
          <w:w w:val="80"/>
          <w:kern w:val="48"/>
        </w:rPr>
        <w:t>,</w:t>
      </w:r>
      <w:r w:rsidR="00352CB4" w:rsidRPr="00A36633">
        <w:rPr>
          <w:rFonts w:cs="Arial"/>
          <w:spacing w:val="-14"/>
          <w:w w:val="80"/>
          <w:kern w:val="48"/>
        </w:rPr>
        <w:t xml:space="preserve"> η θέση της κοινοπραξίας ήταν ότι θα έπρεπε να πληρωθεί</w:t>
      </w:r>
      <w:r w:rsidR="00371666">
        <w:rPr>
          <w:rFonts w:cs="Arial"/>
          <w:spacing w:val="-14"/>
          <w:w w:val="80"/>
          <w:kern w:val="48"/>
        </w:rPr>
        <w:t>,</w:t>
      </w:r>
      <w:r w:rsidR="00352CB4" w:rsidRPr="00A36633">
        <w:rPr>
          <w:rFonts w:cs="Arial"/>
          <w:spacing w:val="-14"/>
          <w:w w:val="80"/>
          <w:kern w:val="48"/>
        </w:rPr>
        <w:t xml:space="preserve"> τον Δεκέμβριο 2023, ενώ βάσει της συμφωνίας η πληρωμή θα έπρεπε να πραγματοποιηθεί</w:t>
      </w:r>
      <w:r w:rsidR="00371666">
        <w:rPr>
          <w:rFonts w:cs="Arial"/>
          <w:spacing w:val="-14"/>
          <w:w w:val="80"/>
          <w:kern w:val="48"/>
        </w:rPr>
        <w:t>,</w:t>
      </w:r>
      <w:r w:rsidR="00352CB4" w:rsidRPr="00A36633">
        <w:rPr>
          <w:rFonts w:cs="Arial"/>
          <w:spacing w:val="-14"/>
          <w:w w:val="80"/>
          <w:kern w:val="48"/>
        </w:rPr>
        <w:t xml:space="preserve"> στις 29.1.24, ημερομηνία</w:t>
      </w:r>
      <w:r w:rsidR="00371666">
        <w:rPr>
          <w:rFonts w:cs="Arial"/>
          <w:spacing w:val="-14"/>
          <w:w w:val="80"/>
          <w:kern w:val="48"/>
        </w:rPr>
        <w:t>,</w:t>
      </w:r>
      <w:r w:rsidR="00352CB4" w:rsidRPr="00A36633">
        <w:rPr>
          <w:rFonts w:cs="Arial"/>
          <w:spacing w:val="-14"/>
          <w:w w:val="80"/>
          <w:kern w:val="48"/>
        </w:rPr>
        <w:t xml:space="preserve"> κατά την οποία</w:t>
      </w:r>
      <w:r w:rsidR="00371666">
        <w:rPr>
          <w:rFonts w:cs="Arial"/>
          <w:spacing w:val="-14"/>
          <w:w w:val="80"/>
          <w:kern w:val="48"/>
        </w:rPr>
        <w:t>,</w:t>
      </w:r>
      <w:r w:rsidR="00352CB4" w:rsidRPr="00A36633">
        <w:rPr>
          <w:rFonts w:cs="Arial"/>
          <w:spacing w:val="-14"/>
          <w:w w:val="80"/>
          <w:kern w:val="48"/>
        </w:rPr>
        <w:t xml:space="preserve"> όντως</w:t>
      </w:r>
      <w:r w:rsidR="00371666">
        <w:rPr>
          <w:rFonts w:cs="Arial"/>
          <w:spacing w:val="-14"/>
          <w:w w:val="80"/>
          <w:kern w:val="48"/>
        </w:rPr>
        <w:t>,</w:t>
      </w:r>
      <w:r w:rsidR="00352CB4" w:rsidRPr="00A36633">
        <w:rPr>
          <w:rFonts w:cs="Arial"/>
          <w:spacing w:val="-14"/>
          <w:w w:val="80"/>
          <w:kern w:val="48"/>
        </w:rPr>
        <w:t xml:space="preserve"> το ποσόν κατεβλήθη. Μάλιστα</w:t>
      </w:r>
      <w:r w:rsidR="00371666">
        <w:rPr>
          <w:rFonts w:cs="Arial"/>
          <w:spacing w:val="-14"/>
          <w:w w:val="80"/>
          <w:kern w:val="48"/>
        </w:rPr>
        <w:t>,</w:t>
      </w:r>
      <w:r w:rsidR="00352CB4" w:rsidRPr="00A36633">
        <w:rPr>
          <w:rFonts w:cs="Arial"/>
          <w:spacing w:val="-14"/>
          <w:w w:val="80"/>
          <w:kern w:val="48"/>
        </w:rPr>
        <w:t xml:space="preserve"> η ΔΕΦΑ σε επιστολή </w:t>
      </w:r>
      <w:r w:rsidR="00371666">
        <w:rPr>
          <w:rFonts w:cs="Arial"/>
          <w:spacing w:val="-14"/>
          <w:w w:val="80"/>
          <w:kern w:val="48"/>
        </w:rPr>
        <w:t>της,</w:t>
      </w:r>
      <w:r w:rsidR="00352CB4" w:rsidRPr="00A36633">
        <w:rPr>
          <w:rFonts w:cs="Arial"/>
          <w:spacing w:val="-14"/>
          <w:w w:val="80"/>
          <w:kern w:val="48"/>
        </w:rPr>
        <w:t xml:space="preserve"> προ δεκαημέρου</w:t>
      </w:r>
      <w:r w:rsidR="00371666">
        <w:rPr>
          <w:rFonts w:cs="Arial"/>
          <w:spacing w:val="-14"/>
          <w:w w:val="80"/>
          <w:kern w:val="48"/>
        </w:rPr>
        <w:t>,</w:t>
      </w:r>
      <w:r w:rsidR="00352CB4" w:rsidRPr="00A36633">
        <w:rPr>
          <w:rFonts w:cs="Arial"/>
          <w:spacing w:val="-14"/>
          <w:w w:val="80"/>
          <w:kern w:val="48"/>
        </w:rPr>
        <w:t xml:space="preserve"> περίπου</w:t>
      </w:r>
      <w:r w:rsidR="00371666">
        <w:rPr>
          <w:rFonts w:cs="Arial"/>
          <w:spacing w:val="-14"/>
          <w:w w:val="80"/>
          <w:kern w:val="48"/>
        </w:rPr>
        <w:t>,</w:t>
      </w:r>
      <w:r w:rsidR="00352CB4" w:rsidRPr="00A36633">
        <w:rPr>
          <w:rFonts w:cs="Arial"/>
          <w:spacing w:val="-14"/>
          <w:w w:val="80"/>
          <w:kern w:val="48"/>
        </w:rPr>
        <w:t xml:space="preserve"> ζήτησε από την κοινοπραξία, να επεκτείνει το ωράριο των εργασιών της, ώστε να καλυφθούν οι καθυστερήσεις, συνεπεία καιρικών συνθηκών. Ο κ. </w:t>
      </w:r>
      <w:proofErr w:type="spellStart"/>
      <w:r w:rsidR="00352CB4" w:rsidRPr="00A36633">
        <w:rPr>
          <w:rFonts w:cs="Arial"/>
          <w:spacing w:val="-14"/>
          <w:w w:val="80"/>
          <w:kern w:val="48"/>
        </w:rPr>
        <w:t>Πατσαλής</w:t>
      </w:r>
      <w:proofErr w:type="spellEnd"/>
      <w:r w:rsidR="00352CB4" w:rsidRPr="00A36633">
        <w:rPr>
          <w:rFonts w:cs="Arial"/>
          <w:spacing w:val="-14"/>
          <w:w w:val="80"/>
          <w:kern w:val="48"/>
        </w:rPr>
        <w:t xml:space="preserve"> στη σχετική δήλωση συμπλήρωσε ότι «δεν είναι γνωστό</w:t>
      </w:r>
      <w:r w:rsidR="00371666">
        <w:rPr>
          <w:rFonts w:cs="Arial"/>
          <w:spacing w:val="-14"/>
          <w:w w:val="80"/>
          <w:kern w:val="48"/>
        </w:rPr>
        <w:t>,</w:t>
      </w:r>
      <w:r w:rsidR="00352CB4" w:rsidRPr="00A36633">
        <w:rPr>
          <w:rFonts w:cs="Arial"/>
          <w:spacing w:val="-14"/>
          <w:w w:val="80"/>
          <w:kern w:val="48"/>
        </w:rPr>
        <w:t xml:space="preserve"> πόσο θα διαρκέσει η διαδικασία, αλλά η ΔΕΦΑ δεν θεωρεί ότι συνδέεται με το χρονοδιάγραμμα του έργου. Το περιθώριο απάντησης στην αξίωση της κοινοπραξίας είναι 4 μήνες».</w:t>
      </w:r>
      <w:r>
        <w:rPr>
          <w:rFonts w:cs="Arial"/>
          <w:spacing w:val="-14"/>
          <w:w w:val="80"/>
          <w:kern w:val="48"/>
        </w:rPr>
        <w:t xml:space="preserve"> </w:t>
      </w:r>
    </w:p>
    <w:p w:rsidR="005068BE" w:rsidRDefault="005068BE" w:rsidP="005068BE">
      <w:pPr>
        <w:spacing w:after="0" w:line="220" w:lineRule="exact"/>
        <w:ind w:left="284"/>
        <w:jc w:val="both"/>
        <w:outlineLvl w:val="0"/>
        <w:rPr>
          <w:rFonts w:cs="Arial"/>
          <w:spacing w:val="-14"/>
          <w:w w:val="80"/>
          <w:kern w:val="48"/>
        </w:rPr>
      </w:pPr>
      <w:r>
        <w:rPr>
          <w:rFonts w:cs="Arial"/>
          <w:spacing w:val="-14"/>
          <w:w w:val="80"/>
          <w:kern w:val="48"/>
        </w:rPr>
        <w:t xml:space="preserve">      </w:t>
      </w:r>
      <w:r w:rsidR="00352CB4" w:rsidRPr="00A36633">
        <w:rPr>
          <w:rFonts w:cs="Arial"/>
          <w:spacing w:val="-14"/>
          <w:w w:val="80"/>
          <w:kern w:val="48"/>
        </w:rPr>
        <w:t>Ουσιαστικά</w:t>
      </w:r>
      <w:r w:rsidR="00371666">
        <w:rPr>
          <w:rFonts w:cs="Arial"/>
          <w:spacing w:val="-14"/>
          <w:w w:val="80"/>
          <w:kern w:val="48"/>
        </w:rPr>
        <w:t>,</w:t>
      </w:r>
      <w:r w:rsidR="00352CB4" w:rsidRPr="00A36633">
        <w:rPr>
          <w:rFonts w:cs="Arial"/>
          <w:spacing w:val="-14"/>
          <w:w w:val="80"/>
          <w:kern w:val="48"/>
        </w:rPr>
        <w:t xml:space="preserve"> το πρόβλημα παρουσιάστηκε με την καθυστέρηση μίας πληρωμής εκ μέρους της </w:t>
      </w:r>
      <w:r w:rsidR="00B77D7A">
        <w:rPr>
          <w:rFonts w:cs="Arial"/>
          <w:spacing w:val="-14"/>
          <w:w w:val="80"/>
          <w:kern w:val="48"/>
        </w:rPr>
        <w:t xml:space="preserve"> </w:t>
      </w:r>
      <w:hyperlink r:id="rId14" w:tgtFrame="_blank" w:history="1">
        <w:r w:rsidR="00352CB4" w:rsidRPr="00A36633">
          <w:rPr>
            <w:rStyle w:val="Hyperlink"/>
            <w:rFonts w:cs="Arial"/>
            <w:spacing w:val="-14"/>
            <w:w w:val="80"/>
            <w:kern w:val="48"/>
          </w:rPr>
          <w:t>ΕΤΥΦΑ </w:t>
        </w:r>
      </w:hyperlink>
      <w:r w:rsidR="00B77D7A">
        <w:rPr>
          <w:rFonts w:cs="Arial"/>
          <w:spacing w:val="-14"/>
          <w:w w:val="80"/>
          <w:kern w:val="48"/>
        </w:rPr>
        <w:t xml:space="preserve"> </w:t>
      </w:r>
      <w:r w:rsidR="00352CB4" w:rsidRPr="00A36633">
        <w:rPr>
          <w:rFonts w:cs="Arial"/>
          <w:spacing w:val="-14"/>
          <w:w w:val="80"/>
          <w:kern w:val="48"/>
        </w:rPr>
        <w:t xml:space="preserve">(Εταιρεία Υποδομών Φυσικού Αερίου) προς την κινεζική CPP για εργασίες στο τερματικό </w:t>
      </w:r>
      <w:proofErr w:type="spellStart"/>
      <w:r w:rsidR="00352CB4" w:rsidRPr="00A36633">
        <w:rPr>
          <w:rFonts w:cs="Arial"/>
          <w:spacing w:val="-14"/>
          <w:w w:val="80"/>
          <w:kern w:val="48"/>
        </w:rPr>
        <w:t>επαναεριοποίησης</w:t>
      </w:r>
      <w:proofErr w:type="spellEnd"/>
      <w:r w:rsidR="00352CB4" w:rsidRPr="00A36633">
        <w:rPr>
          <w:rFonts w:cs="Arial"/>
          <w:spacing w:val="-14"/>
          <w:w w:val="80"/>
          <w:kern w:val="48"/>
        </w:rPr>
        <w:t xml:space="preserve"> φ/α. Εκπρόσωπος της κινεζικής εταιρείας τονίζει</w:t>
      </w:r>
      <w:r w:rsidR="00371666">
        <w:rPr>
          <w:rFonts w:cs="Arial"/>
          <w:spacing w:val="-14"/>
          <w:w w:val="80"/>
          <w:kern w:val="48"/>
        </w:rPr>
        <w:t>,</w:t>
      </w:r>
      <w:r w:rsidR="00352CB4" w:rsidRPr="00A36633">
        <w:rPr>
          <w:rFonts w:cs="Arial"/>
          <w:spacing w:val="-14"/>
          <w:w w:val="80"/>
          <w:kern w:val="48"/>
        </w:rPr>
        <w:t xml:space="preserve"> </w:t>
      </w:r>
      <w:r w:rsidR="00371666">
        <w:rPr>
          <w:rFonts w:cs="Arial"/>
          <w:spacing w:val="-14"/>
          <w:w w:val="80"/>
          <w:kern w:val="48"/>
        </w:rPr>
        <w:t>όμως,</w:t>
      </w:r>
      <w:r w:rsidR="00352CB4" w:rsidRPr="00A36633">
        <w:rPr>
          <w:rFonts w:cs="Arial"/>
          <w:spacing w:val="-14"/>
          <w:w w:val="80"/>
          <w:kern w:val="48"/>
        </w:rPr>
        <w:t xml:space="preserve"> ότι το ζήτημα των καθυστερημένων πληρωμών, «αποτελεί συστηματική προσέγγιση της ΕΤΥΦΑ από την αρχή του έργου. Σαν παράδειγμα</w:t>
      </w:r>
      <w:r w:rsidR="00371666">
        <w:rPr>
          <w:rFonts w:cs="Arial"/>
          <w:spacing w:val="-14"/>
          <w:w w:val="80"/>
          <w:kern w:val="48"/>
        </w:rPr>
        <w:t>,</w:t>
      </w:r>
      <w:r w:rsidR="00352CB4" w:rsidRPr="00A36633">
        <w:rPr>
          <w:rFonts w:cs="Arial"/>
          <w:spacing w:val="-14"/>
          <w:w w:val="80"/>
          <w:kern w:val="48"/>
        </w:rPr>
        <w:t xml:space="preserve"> ανέφερε ότι</w:t>
      </w:r>
      <w:r w:rsidR="00371666">
        <w:rPr>
          <w:rFonts w:cs="Arial"/>
          <w:spacing w:val="-14"/>
          <w:w w:val="80"/>
          <w:kern w:val="48"/>
        </w:rPr>
        <w:t>,</w:t>
      </w:r>
      <w:r w:rsidR="00352CB4" w:rsidRPr="00A36633">
        <w:rPr>
          <w:rFonts w:cs="Arial"/>
          <w:spacing w:val="-14"/>
          <w:w w:val="80"/>
          <w:kern w:val="48"/>
        </w:rPr>
        <w:t xml:space="preserve"> από τον Φεβρουάριο του </w:t>
      </w:r>
      <w:r w:rsidR="00352CB4" w:rsidRPr="00A36633">
        <w:rPr>
          <w:rFonts w:cs="Arial"/>
          <w:spacing w:val="-14"/>
          <w:w w:val="80"/>
          <w:kern w:val="48"/>
        </w:rPr>
        <w:lastRenderedPageBreak/>
        <w:t>2021</w:t>
      </w:r>
      <w:r w:rsidR="00371666">
        <w:rPr>
          <w:rFonts w:cs="Arial"/>
          <w:spacing w:val="-14"/>
          <w:w w:val="80"/>
          <w:kern w:val="48"/>
        </w:rPr>
        <w:t>,</w:t>
      </w:r>
      <w:r w:rsidR="00352CB4" w:rsidRPr="00A36633">
        <w:rPr>
          <w:rFonts w:cs="Arial"/>
          <w:spacing w:val="-14"/>
          <w:w w:val="80"/>
          <w:kern w:val="48"/>
        </w:rPr>
        <w:t xml:space="preserve"> έως τον Ιούλιο του 2022, η ΕΤΥΦΑ δεν πραγματοποίησε καμία πληρωμή στον εργολάβο, κάτι το οποίο συνεχίζεται</w:t>
      </w:r>
      <w:r w:rsidR="00640B5E">
        <w:rPr>
          <w:rFonts w:cs="Arial"/>
          <w:spacing w:val="-14"/>
          <w:w w:val="80"/>
          <w:kern w:val="48"/>
        </w:rPr>
        <w:t>,</w:t>
      </w:r>
      <w:r w:rsidR="00352CB4" w:rsidRPr="00A36633">
        <w:rPr>
          <w:rFonts w:cs="Arial"/>
          <w:spacing w:val="-14"/>
          <w:w w:val="80"/>
          <w:kern w:val="48"/>
        </w:rPr>
        <w:t xml:space="preserve"> μέχρι σήμερα, με αποτέλεσμα ο εργολάβος να είναι αναγκασμένος να χρηματοδοτεί το έργο».</w:t>
      </w:r>
    </w:p>
    <w:p w:rsidR="00283520" w:rsidRDefault="005068BE" w:rsidP="00283520">
      <w:pPr>
        <w:spacing w:after="0" w:line="220" w:lineRule="exact"/>
        <w:ind w:left="284"/>
        <w:jc w:val="both"/>
        <w:outlineLvl w:val="0"/>
        <w:rPr>
          <w:rFonts w:cs="Arial"/>
          <w:spacing w:val="-14"/>
          <w:w w:val="80"/>
          <w:kern w:val="48"/>
        </w:rPr>
      </w:pPr>
      <w:r>
        <w:rPr>
          <w:rFonts w:cs="Arial"/>
          <w:spacing w:val="-14"/>
          <w:w w:val="80"/>
          <w:kern w:val="48"/>
        </w:rPr>
        <w:t xml:space="preserve">      </w:t>
      </w:r>
      <w:r w:rsidR="00640B5E">
        <w:rPr>
          <w:rFonts w:cs="Arial"/>
          <w:spacing w:val="-14"/>
          <w:w w:val="80"/>
          <w:kern w:val="48"/>
        </w:rPr>
        <w:t xml:space="preserve"> </w:t>
      </w:r>
      <w:r w:rsidR="00352CB4" w:rsidRPr="00A36633">
        <w:rPr>
          <w:rFonts w:cs="Arial"/>
          <w:spacing w:val="-14"/>
          <w:w w:val="80"/>
          <w:kern w:val="48"/>
        </w:rPr>
        <w:t>Από την πλευρά της ΕΤΥΦΑ ανακοινώθηκε ότι το ζήτημα της πληρωμής αυτής θα διευθετηθεί άμεσα, ώστε τα χρήματα (περίπου 5 εκατ. Ευρώ) να είναι στον λογαριασμό της CPP</w:t>
      </w:r>
      <w:r w:rsidR="00640B5E">
        <w:rPr>
          <w:rFonts w:cs="Arial"/>
          <w:spacing w:val="-14"/>
          <w:w w:val="80"/>
          <w:kern w:val="48"/>
        </w:rPr>
        <w:t>,</w:t>
      </w:r>
      <w:r w:rsidR="00352CB4" w:rsidRPr="00A36633">
        <w:rPr>
          <w:rFonts w:cs="Arial"/>
          <w:spacing w:val="-14"/>
          <w:w w:val="80"/>
          <w:kern w:val="48"/>
        </w:rPr>
        <w:t xml:space="preserve"> εντός των αρχών Φεβρουαρίου </w:t>
      </w:r>
      <w:proofErr w:type="spellStart"/>
      <w:r w:rsidR="00352CB4" w:rsidRPr="00A36633">
        <w:rPr>
          <w:rFonts w:cs="Arial"/>
          <w:spacing w:val="-14"/>
          <w:w w:val="80"/>
          <w:kern w:val="48"/>
        </w:rPr>
        <w:t>τ.έ</w:t>
      </w:r>
      <w:proofErr w:type="spellEnd"/>
      <w:r w:rsidR="00352CB4" w:rsidRPr="00A36633">
        <w:rPr>
          <w:rFonts w:cs="Arial"/>
          <w:spacing w:val="-14"/>
          <w:w w:val="80"/>
          <w:kern w:val="48"/>
        </w:rPr>
        <w:t>., ώστε να δώσει οδηγίες στους υπεργολάβους της (</w:t>
      </w:r>
      <w:proofErr w:type="spellStart"/>
      <w:r w:rsidR="00352CB4" w:rsidRPr="00A36633">
        <w:rPr>
          <w:rFonts w:cs="Arial"/>
          <w:spacing w:val="-14"/>
          <w:w w:val="80"/>
          <w:kern w:val="48"/>
        </w:rPr>
        <w:t>Multimarine</w:t>
      </w:r>
      <w:proofErr w:type="spellEnd"/>
      <w:r w:rsidR="00352CB4" w:rsidRPr="00A36633">
        <w:rPr>
          <w:rFonts w:cs="Arial"/>
          <w:spacing w:val="-14"/>
          <w:w w:val="80"/>
          <w:kern w:val="48"/>
        </w:rPr>
        <w:t xml:space="preserve"> </w:t>
      </w:r>
      <w:proofErr w:type="spellStart"/>
      <w:r w:rsidR="00352CB4" w:rsidRPr="00A36633">
        <w:rPr>
          <w:rFonts w:cs="Arial"/>
          <w:spacing w:val="-14"/>
          <w:w w:val="80"/>
          <w:kern w:val="48"/>
        </w:rPr>
        <w:t>Services</w:t>
      </w:r>
      <w:proofErr w:type="spellEnd"/>
      <w:r w:rsidR="00352CB4" w:rsidRPr="00A36633">
        <w:rPr>
          <w:rFonts w:cs="Arial"/>
          <w:spacing w:val="-14"/>
          <w:w w:val="80"/>
          <w:kern w:val="48"/>
        </w:rPr>
        <w:t xml:space="preserve"> – </w:t>
      </w:r>
      <w:proofErr w:type="spellStart"/>
      <w:r w:rsidR="00352CB4" w:rsidRPr="00A36633">
        <w:rPr>
          <w:rFonts w:cs="Arial"/>
          <w:spacing w:val="-14"/>
          <w:w w:val="80"/>
          <w:kern w:val="48"/>
        </w:rPr>
        <w:t>Spanopoulos</w:t>
      </w:r>
      <w:proofErr w:type="spellEnd"/>
      <w:r w:rsidR="00352CB4" w:rsidRPr="00A36633">
        <w:rPr>
          <w:rFonts w:cs="Arial"/>
          <w:spacing w:val="-14"/>
          <w:w w:val="80"/>
          <w:kern w:val="48"/>
        </w:rPr>
        <w:t xml:space="preserve">) για επανέναρξη των έργων. </w:t>
      </w:r>
    </w:p>
    <w:p w:rsidR="00194694" w:rsidRDefault="00283520"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640B5E">
        <w:rPr>
          <w:rFonts w:cs="Arial"/>
          <w:spacing w:val="-14"/>
          <w:w w:val="80"/>
          <w:kern w:val="48"/>
        </w:rPr>
        <w:t xml:space="preserve">  </w:t>
      </w:r>
      <w:r w:rsidR="00352CB4" w:rsidRPr="00A36633">
        <w:rPr>
          <w:rFonts w:cs="Arial"/>
          <w:spacing w:val="-14"/>
          <w:w w:val="80"/>
          <w:kern w:val="48"/>
        </w:rPr>
        <w:t xml:space="preserve">Όμως, σύμφωνα με την Ομάδα Έργου της ΕΤΥΦΑ, εξακολουθούν να καταγράφονται καθυστερήσεις και άλλα προβλήματα στην προώθηση των έργων </w:t>
      </w:r>
      <w:r w:rsidR="00352CB4" w:rsidRPr="00B77D7A">
        <w:rPr>
          <w:rFonts w:cs="Arial"/>
          <w:spacing w:val="-14"/>
          <w:w w:val="80"/>
          <w:kern w:val="48"/>
        </w:rPr>
        <w:t>στο </w:t>
      </w:r>
      <w:r w:rsidR="00B77D7A" w:rsidRPr="00B77D7A">
        <w:rPr>
          <w:rFonts w:cs="Arial"/>
          <w:spacing w:val="-14"/>
          <w:w w:val="80"/>
          <w:kern w:val="48"/>
        </w:rPr>
        <w:t xml:space="preserve"> </w:t>
      </w:r>
      <w:hyperlink r:id="rId15" w:tgtFrame="_blank" w:history="1">
        <w:r w:rsidR="00352CB4" w:rsidRPr="00B77D7A">
          <w:rPr>
            <w:rStyle w:val="Hyperlink"/>
            <w:rFonts w:cs="Arial"/>
            <w:color w:val="auto"/>
            <w:spacing w:val="-14"/>
            <w:w w:val="80"/>
            <w:kern w:val="48"/>
          </w:rPr>
          <w:t>Βασιλικό</w:t>
        </w:r>
      </w:hyperlink>
      <w:r w:rsidR="00352CB4" w:rsidRPr="00B77D7A">
        <w:rPr>
          <w:rFonts w:cs="Arial"/>
          <w:spacing w:val="-14"/>
          <w:w w:val="80"/>
          <w:kern w:val="48"/>
        </w:rPr>
        <w:t>, γι’</w:t>
      </w:r>
      <w:r w:rsidR="00352CB4" w:rsidRPr="00A36633">
        <w:rPr>
          <w:rFonts w:cs="Arial"/>
          <w:spacing w:val="-14"/>
          <w:w w:val="80"/>
          <w:kern w:val="48"/>
        </w:rPr>
        <w:t xml:space="preserve"> αυτό και προτάθηκε στο Δ.Σ. της ΕΤΥΦΑ να γίνει διακοπή πληρωμών προς τον εργολάβο και νέα διαπραγμάτευση ή άλλη διευθέτηση ως προς την εμπρόθεσμη προώθηση του έργου, το οποίο βάσει του τελευταίου χρονοδιαγράμματος, που έδωσε η κινεζική κοινοπραξία (</w:t>
      </w:r>
      <w:r w:rsidR="00352CB4" w:rsidRPr="00A36633">
        <w:rPr>
          <w:rFonts w:cs="Arial"/>
          <w:bCs/>
          <w:spacing w:val="-14"/>
          <w:w w:val="80"/>
          <w:kern w:val="48"/>
        </w:rPr>
        <w:t>CPP) </w:t>
      </w:r>
      <w:r w:rsidR="00352CB4" w:rsidRPr="00A36633">
        <w:rPr>
          <w:rFonts w:cs="Arial"/>
          <w:spacing w:val="-14"/>
          <w:w w:val="80"/>
          <w:kern w:val="48"/>
        </w:rPr>
        <w:t xml:space="preserve"> αναμένεται να παραδοθεί</w:t>
      </w:r>
      <w:r w:rsidR="00640B5E">
        <w:rPr>
          <w:rFonts w:cs="Arial"/>
          <w:spacing w:val="-14"/>
          <w:w w:val="80"/>
          <w:kern w:val="48"/>
        </w:rPr>
        <w:t>,</w:t>
      </w:r>
      <w:r w:rsidR="00352CB4" w:rsidRPr="00A36633">
        <w:rPr>
          <w:rFonts w:cs="Arial"/>
          <w:spacing w:val="-14"/>
          <w:w w:val="80"/>
          <w:kern w:val="48"/>
        </w:rPr>
        <w:t xml:space="preserve"> τον Ιούλιο του 2024, αντί της αρχικής πρόβλεψης για παράδοση τον Σεπτέμβριο του 2022. Η Ομάδα Έργου της </w:t>
      </w:r>
      <w:r w:rsidR="00352CB4" w:rsidRPr="00A36633">
        <w:rPr>
          <w:rFonts w:cs="Arial"/>
          <w:bCs/>
          <w:spacing w:val="-14"/>
          <w:w w:val="80"/>
          <w:kern w:val="48"/>
        </w:rPr>
        <w:t>ΕΤΥΦΑ </w:t>
      </w:r>
      <w:r w:rsidR="00352CB4" w:rsidRPr="00A36633">
        <w:rPr>
          <w:rFonts w:cs="Arial"/>
          <w:spacing w:val="-14"/>
          <w:w w:val="80"/>
          <w:kern w:val="48"/>
        </w:rPr>
        <w:t>υποστηρίζει</w:t>
      </w:r>
      <w:r w:rsidR="00640B5E">
        <w:rPr>
          <w:rFonts w:cs="Arial"/>
          <w:spacing w:val="-14"/>
          <w:w w:val="80"/>
          <w:kern w:val="48"/>
        </w:rPr>
        <w:t>,</w:t>
      </w:r>
      <w:r w:rsidR="00352CB4" w:rsidRPr="00A36633">
        <w:rPr>
          <w:rFonts w:cs="Arial"/>
          <w:spacing w:val="-14"/>
          <w:w w:val="80"/>
          <w:kern w:val="48"/>
        </w:rPr>
        <w:t xml:space="preserve"> πως με τα σημερινά δεδομένα δεν μπορεί να ολοκληρωθεί το έργο</w:t>
      </w:r>
      <w:r w:rsidR="00640B5E">
        <w:rPr>
          <w:rFonts w:cs="Arial"/>
          <w:spacing w:val="-14"/>
          <w:w w:val="80"/>
          <w:kern w:val="48"/>
        </w:rPr>
        <w:t>,</w:t>
      </w:r>
      <w:r w:rsidR="00352CB4" w:rsidRPr="00A36633">
        <w:rPr>
          <w:rFonts w:cs="Arial"/>
          <w:spacing w:val="-14"/>
          <w:w w:val="80"/>
          <w:kern w:val="48"/>
        </w:rPr>
        <w:t xml:space="preserve"> μέχρι τον Ιούλιο </w:t>
      </w:r>
      <w:proofErr w:type="spellStart"/>
      <w:r w:rsidR="00352CB4" w:rsidRPr="00A36633">
        <w:rPr>
          <w:rFonts w:cs="Arial"/>
          <w:spacing w:val="-14"/>
          <w:w w:val="80"/>
          <w:kern w:val="48"/>
        </w:rPr>
        <w:t>τ.έ</w:t>
      </w:r>
      <w:proofErr w:type="spellEnd"/>
      <w:r w:rsidR="00352CB4" w:rsidRPr="00A36633">
        <w:rPr>
          <w:rFonts w:cs="Arial"/>
          <w:spacing w:val="-14"/>
          <w:w w:val="80"/>
          <w:kern w:val="48"/>
        </w:rPr>
        <w:t>.</w:t>
      </w:r>
      <w:r w:rsidR="00640B5E">
        <w:rPr>
          <w:rFonts w:cs="Arial"/>
          <w:spacing w:val="-14"/>
          <w:w w:val="80"/>
          <w:kern w:val="48"/>
        </w:rPr>
        <w:t>.</w:t>
      </w:r>
      <w:r w:rsidR="00352CB4" w:rsidRPr="00A36633">
        <w:rPr>
          <w:rFonts w:cs="Arial"/>
          <w:spacing w:val="-14"/>
          <w:w w:val="80"/>
          <w:kern w:val="48"/>
        </w:rPr>
        <w:t xml:space="preserve"> Επειδή, λοιπόν, αμφισβητείται η δυνατότητα τήρησης του χρονοδιαγράμματος το Δ.Σ. της εταιρείας αποφάσισε να ζητήσει με επιστολή του τον καθορισμό νέου χρονοδιαγράμματος εκ μέρους των Κινέζων. Παράλληλα, το Δ.Σ. απέρριψε την εισήγηση να διακοπούν οι πληρωμές προς τη CPP.</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352CB4" w:rsidRPr="00A36633">
        <w:rPr>
          <w:rFonts w:cs="Arial"/>
          <w:spacing w:val="-14"/>
          <w:w w:val="80"/>
          <w:kern w:val="48"/>
        </w:rPr>
        <w:t>Πάντως</w:t>
      </w:r>
      <w:r w:rsidR="00640B5E">
        <w:rPr>
          <w:rFonts w:cs="Arial"/>
          <w:spacing w:val="-14"/>
          <w:w w:val="80"/>
          <w:kern w:val="48"/>
        </w:rPr>
        <w:t>,</w:t>
      </w:r>
      <w:r w:rsidR="00352CB4" w:rsidRPr="00A36633">
        <w:rPr>
          <w:rFonts w:cs="Arial"/>
          <w:spacing w:val="-14"/>
          <w:w w:val="80"/>
          <w:kern w:val="48"/>
        </w:rPr>
        <w:t xml:space="preserve"> πρέπει να σημειώσουμε ότι το αίτημα της κοινοπραξίας για καταβολή αποζημίωσης έπεται σχετικής  Έκθεσης της Ελεγκτικής Υπηρεσίας, η οποία κατέδειξε ότι έχουν ήδη δοθεί για το σημαντικό αυτό έργο υποδομής περισσότερα από τα προβλεπόμενα 500 εκατ. Ευρώ. Συγκεκριμένα</w:t>
      </w:r>
      <w:r w:rsidR="00640B5E">
        <w:rPr>
          <w:rFonts w:cs="Arial"/>
          <w:spacing w:val="-14"/>
          <w:w w:val="80"/>
          <w:kern w:val="48"/>
        </w:rPr>
        <w:t>,</w:t>
      </w:r>
      <w:r w:rsidR="00352CB4" w:rsidRPr="00A36633">
        <w:rPr>
          <w:rFonts w:cs="Arial"/>
          <w:spacing w:val="-14"/>
          <w:w w:val="80"/>
          <w:kern w:val="48"/>
        </w:rPr>
        <w:t xml:space="preserve"> σύμφωνα με τον Εκπρόσωπο Τύπου της Ελεγκτικής Υπηρεσίας</w:t>
      </w:r>
      <w:r w:rsidR="00640B5E">
        <w:rPr>
          <w:rFonts w:cs="Arial"/>
          <w:spacing w:val="-14"/>
          <w:w w:val="80"/>
          <w:kern w:val="48"/>
        </w:rPr>
        <w:t>,</w:t>
      </w:r>
      <w:r w:rsidR="00352CB4" w:rsidRPr="00A36633">
        <w:rPr>
          <w:rFonts w:cs="Arial"/>
          <w:spacing w:val="-14"/>
          <w:w w:val="80"/>
          <w:kern w:val="48"/>
        </w:rPr>
        <w:t xml:space="preserve"> κ. Μ. Πετρίδη</w:t>
      </w:r>
      <w:r w:rsidR="00640B5E">
        <w:rPr>
          <w:rFonts w:cs="Arial"/>
          <w:spacing w:val="-14"/>
          <w:w w:val="80"/>
          <w:kern w:val="48"/>
        </w:rPr>
        <w:t>,</w:t>
      </w:r>
      <w:r w:rsidR="00352CB4" w:rsidRPr="00A36633">
        <w:rPr>
          <w:rFonts w:cs="Arial"/>
          <w:spacing w:val="-14"/>
          <w:w w:val="80"/>
          <w:kern w:val="48"/>
        </w:rPr>
        <w:t xml:space="preserve"> έχουν δοθεί συνολικά 542 εκ</w:t>
      </w:r>
      <w:r w:rsidR="00640B5E">
        <w:rPr>
          <w:rFonts w:cs="Arial"/>
          <w:spacing w:val="-14"/>
          <w:w w:val="80"/>
          <w:kern w:val="48"/>
        </w:rPr>
        <w:t>. Ευρώ, δηλ. 42 εκ</w:t>
      </w:r>
      <w:r w:rsidR="00352CB4" w:rsidRPr="00A36633">
        <w:rPr>
          <w:rFonts w:cs="Arial"/>
          <w:spacing w:val="-14"/>
          <w:w w:val="80"/>
          <w:kern w:val="48"/>
        </w:rPr>
        <w:t>. Ευρώ περισσότερα. Από αυτά</w:t>
      </w:r>
      <w:r w:rsidR="00640B5E">
        <w:rPr>
          <w:rFonts w:cs="Arial"/>
          <w:spacing w:val="-14"/>
          <w:w w:val="80"/>
          <w:kern w:val="48"/>
        </w:rPr>
        <w:t>, τα 42 εκ</w:t>
      </w:r>
      <w:r w:rsidR="00352CB4" w:rsidRPr="00A36633">
        <w:rPr>
          <w:rFonts w:cs="Arial"/>
          <w:spacing w:val="-14"/>
          <w:w w:val="80"/>
          <w:kern w:val="48"/>
        </w:rPr>
        <w:t>. Ευρώ</w:t>
      </w:r>
      <w:r w:rsidR="00640B5E">
        <w:rPr>
          <w:rFonts w:cs="Arial"/>
          <w:spacing w:val="-14"/>
          <w:w w:val="80"/>
          <w:kern w:val="48"/>
        </w:rPr>
        <w:t>,</w:t>
      </w:r>
      <w:r w:rsidR="00352CB4" w:rsidRPr="00A36633">
        <w:rPr>
          <w:rFonts w:cs="Arial"/>
          <w:spacing w:val="-14"/>
          <w:w w:val="80"/>
          <w:kern w:val="48"/>
        </w:rPr>
        <w:t xml:space="preserve"> 25 εκ. είναι το ποσόν που ζήτησε ο Εργολάβος για την αύξηση των τιμών του χάλυβα, </w:t>
      </w:r>
      <w:proofErr w:type="spellStart"/>
      <w:r w:rsidR="00352CB4" w:rsidRPr="00A36633">
        <w:rPr>
          <w:rFonts w:cs="Arial"/>
          <w:spacing w:val="-14"/>
          <w:w w:val="80"/>
          <w:kern w:val="48"/>
        </w:rPr>
        <w:t>παρ΄</w:t>
      </w:r>
      <w:proofErr w:type="spellEnd"/>
      <w:r w:rsidR="00352CB4" w:rsidRPr="00A36633">
        <w:rPr>
          <w:rFonts w:cs="Arial"/>
          <w:spacing w:val="-14"/>
          <w:w w:val="80"/>
          <w:kern w:val="48"/>
        </w:rPr>
        <w:t xml:space="preserve"> όλο που δεν </w:t>
      </w:r>
      <w:proofErr w:type="spellStart"/>
      <w:r w:rsidR="00352CB4" w:rsidRPr="00A36633">
        <w:rPr>
          <w:rFonts w:cs="Arial"/>
          <w:spacing w:val="-14"/>
          <w:w w:val="80"/>
          <w:kern w:val="48"/>
        </w:rPr>
        <w:t>προβλέπετο</w:t>
      </w:r>
      <w:proofErr w:type="spellEnd"/>
      <w:r w:rsidR="00352CB4" w:rsidRPr="00A36633">
        <w:rPr>
          <w:rFonts w:cs="Arial"/>
          <w:spacing w:val="-14"/>
          <w:w w:val="80"/>
          <w:kern w:val="48"/>
        </w:rPr>
        <w:t xml:space="preserve"> στη συμφωνία η κάλυψη των αυξήσεων των τιμών. Την ίδια ώρα, η επιλογή της συγκεκριμένης κοινοπραξίας, όπως κατέδειξε η Ελεγκτική Υπηρεσία ήταν προβληματική από την αρχή, από την προκήρυξη δηλαδή του διαγωνισμού. Όπως αναφέρεται στην Έκθεση</w:t>
      </w:r>
      <w:r w:rsidR="00640B5E">
        <w:rPr>
          <w:rFonts w:cs="Arial"/>
          <w:spacing w:val="-14"/>
          <w:w w:val="80"/>
          <w:kern w:val="48"/>
        </w:rPr>
        <w:t>,</w:t>
      </w:r>
      <w:r w:rsidR="00352CB4" w:rsidRPr="00A36633">
        <w:rPr>
          <w:rFonts w:cs="Arial"/>
          <w:spacing w:val="-14"/>
          <w:w w:val="80"/>
          <w:kern w:val="48"/>
        </w:rPr>
        <w:t xml:space="preserve"> η κοινοπραξία δεν είχε συγκεντρώσει την ελάχιστη βαθμολογία, για την επιτυχία στον διαγωνισμό, τελικά</w:t>
      </w:r>
      <w:r w:rsidR="00640B5E">
        <w:rPr>
          <w:rFonts w:cs="Arial"/>
          <w:spacing w:val="-14"/>
          <w:w w:val="80"/>
          <w:kern w:val="48"/>
        </w:rPr>
        <w:t>,</w:t>
      </w:r>
      <w:r w:rsidR="00352CB4" w:rsidRPr="00A36633">
        <w:rPr>
          <w:rFonts w:cs="Arial"/>
          <w:spacing w:val="-14"/>
          <w:w w:val="80"/>
          <w:kern w:val="48"/>
        </w:rPr>
        <w:t xml:space="preserve"> </w:t>
      </w:r>
      <w:r w:rsidR="00640B5E">
        <w:rPr>
          <w:rFonts w:cs="Arial"/>
          <w:spacing w:val="-14"/>
          <w:w w:val="80"/>
          <w:kern w:val="48"/>
        </w:rPr>
        <w:t>όμως,</w:t>
      </w:r>
      <w:r w:rsidR="00352CB4" w:rsidRPr="00A36633">
        <w:rPr>
          <w:rFonts w:cs="Arial"/>
          <w:spacing w:val="-14"/>
          <w:w w:val="80"/>
          <w:kern w:val="48"/>
        </w:rPr>
        <w:t xml:space="preserve"> η προσφορά της έγινε αποδεκτή, ενώ σε ένα εκ των βασικών μελών της κοινοπραξίας, είχε επιβληθεί πρόστιμο για νόθευση διαγωνισμών δημοσίων έργων. Σε κάθε περίπτωση</w:t>
      </w:r>
      <w:r w:rsidR="00640B5E">
        <w:rPr>
          <w:rFonts w:cs="Arial"/>
          <w:spacing w:val="-14"/>
          <w:w w:val="80"/>
          <w:kern w:val="48"/>
        </w:rPr>
        <w:t>, η υπέρβαση των 40 εκ</w:t>
      </w:r>
      <w:r w:rsidR="00352CB4" w:rsidRPr="00A36633">
        <w:rPr>
          <w:rFonts w:cs="Arial"/>
          <w:spacing w:val="-14"/>
          <w:w w:val="80"/>
          <w:kern w:val="48"/>
        </w:rPr>
        <w:t xml:space="preserve">. Ευρώ από την αρχική σύμβαση έχει προκαλέσει έντονες συζητήσεις στον πολιτικό κόσμο της Κύπρου και </w:t>
      </w:r>
      <w:proofErr w:type="spellStart"/>
      <w:r w:rsidR="00352CB4" w:rsidRPr="00A36633">
        <w:rPr>
          <w:rFonts w:cs="Arial"/>
          <w:spacing w:val="-14"/>
          <w:w w:val="80"/>
          <w:kern w:val="48"/>
        </w:rPr>
        <w:t>στοχοποίηση</w:t>
      </w:r>
      <w:proofErr w:type="spellEnd"/>
      <w:r w:rsidR="00352CB4" w:rsidRPr="00A36633">
        <w:rPr>
          <w:rFonts w:cs="Arial"/>
          <w:spacing w:val="-14"/>
          <w:w w:val="80"/>
          <w:kern w:val="48"/>
        </w:rPr>
        <w:t xml:space="preserve"> της προηγούμενης κυβέρνησης.</w:t>
      </w:r>
      <w:r w:rsidR="00352CB4" w:rsidRPr="00A36633">
        <w:rPr>
          <w:rFonts w:cs="Arial"/>
          <w:i/>
          <w:spacing w:val="-14"/>
          <w:w w:val="80"/>
          <w:kern w:val="48"/>
        </w:rPr>
        <w:t xml:space="preserve"> </w:t>
      </w:r>
      <w:r w:rsidR="00352CB4" w:rsidRPr="00A36633">
        <w:rPr>
          <w:rFonts w:cs="Arial"/>
          <w:spacing w:val="-14"/>
          <w:w w:val="80"/>
          <w:kern w:val="48"/>
        </w:rPr>
        <w:t>Μάλιστα</w:t>
      </w:r>
      <w:r w:rsidR="00640B5E">
        <w:rPr>
          <w:rFonts w:cs="Arial"/>
          <w:spacing w:val="-14"/>
          <w:w w:val="80"/>
          <w:kern w:val="48"/>
        </w:rPr>
        <w:t>,</w:t>
      </w:r>
      <w:r w:rsidR="00352CB4" w:rsidRPr="00A36633">
        <w:rPr>
          <w:rFonts w:cs="Arial"/>
          <w:spacing w:val="-14"/>
          <w:w w:val="80"/>
          <w:kern w:val="48"/>
        </w:rPr>
        <w:t xml:space="preserve"> δυσάρεστες εντυπώσεις αφήνουν οι αναφορές του Γενικού Ελεγκτή στην Έκθεση του, στην οποία επισημαίνει σοβαρές παραβιάσεις δημοσίων συμβάσεων, επανειλημμένες καθυστερήσεις, «σαθρή εικόνα» στη ΔΕΦΑ και στη θυγατρική της ΕΤΥΦΑ</w:t>
      </w:r>
      <w:r w:rsidR="00640B5E">
        <w:rPr>
          <w:rFonts w:cs="Arial"/>
          <w:spacing w:val="-14"/>
          <w:w w:val="80"/>
          <w:kern w:val="48"/>
        </w:rPr>
        <w:t>,</w:t>
      </w:r>
      <w:r w:rsidR="00352CB4" w:rsidRPr="00A36633">
        <w:rPr>
          <w:rFonts w:cs="Arial"/>
          <w:spacing w:val="-14"/>
          <w:w w:val="80"/>
          <w:kern w:val="48"/>
        </w:rPr>
        <w:t xml:space="preserve"> σε σχέση με το έργο και την αύξηση του κόστους, ενώ γίνονται αναφορές σε ευρήματα, που ενδεχομένως να ενέχουν πειθαρχικές ή ποινικές ευθύνες. Η συγκεκριμένη Έκθεση αναμένεται να αποσταλεί επίσης στην Αρχή κατά της Διαφθοράς.</w:t>
      </w:r>
    </w:p>
    <w:p w:rsidR="00194694" w:rsidRDefault="00194694" w:rsidP="00194694">
      <w:pPr>
        <w:spacing w:after="0" w:line="220" w:lineRule="exact"/>
        <w:ind w:left="284"/>
        <w:jc w:val="both"/>
        <w:outlineLvl w:val="0"/>
        <w:rPr>
          <w:rFonts w:cs="Arial"/>
          <w:spacing w:val="-14"/>
          <w:w w:val="80"/>
          <w:kern w:val="48"/>
        </w:rPr>
      </w:pPr>
    </w:p>
    <w:p w:rsidR="00194694" w:rsidRDefault="00352CB4" w:rsidP="00194694">
      <w:pPr>
        <w:spacing w:after="0" w:line="220" w:lineRule="exact"/>
        <w:ind w:left="284"/>
        <w:jc w:val="both"/>
        <w:outlineLvl w:val="0"/>
        <w:rPr>
          <w:rFonts w:cs="Arial"/>
          <w:b/>
          <w:color w:val="0070C0"/>
          <w:spacing w:val="-14"/>
          <w:w w:val="80"/>
          <w:kern w:val="48"/>
        </w:rPr>
      </w:pPr>
      <w:r w:rsidRPr="00B77D7A">
        <w:rPr>
          <w:rFonts w:cs="Arial"/>
          <w:b/>
          <w:color w:val="0070C0"/>
          <w:spacing w:val="-14"/>
          <w:w w:val="80"/>
          <w:kern w:val="48"/>
        </w:rPr>
        <w:t xml:space="preserve">6.5 </w:t>
      </w:r>
      <w:r w:rsidR="007B2D92" w:rsidRPr="00B77D7A">
        <w:rPr>
          <w:rFonts w:cs="Arial"/>
          <w:b/>
          <w:color w:val="0070C0"/>
          <w:spacing w:val="-14"/>
          <w:w w:val="80"/>
          <w:kern w:val="48"/>
        </w:rPr>
        <w:t>Εξελίξεις στην πορεία κατασκευής του τερματικού υγροποιημένου φυσικού αερίου (LNG)</w:t>
      </w:r>
      <w:r w:rsidR="007E27FF" w:rsidRPr="00B77D7A">
        <w:rPr>
          <w:rFonts w:cs="Arial"/>
          <w:b/>
          <w:color w:val="0070C0"/>
          <w:spacing w:val="-14"/>
          <w:w w:val="80"/>
          <w:kern w:val="48"/>
        </w:rPr>
        <w:t xml:space="preserve"> στο φ/α </w:t>
      </w:r>
      <w:r w:rsidR="007B2D92" w:rsidRPr="00B77D7A">
        <w:rPr>
          <w:rFonts w:cs="Arial"/>
          <w:b/>
          <w:color w:val="0070C0"/>
          <w:spacing w:val="-14"/>
          <w:w w:val="80"/>
          <w:kern w:val="48"/>
        </w:rPr>
        <w:t xml:space="preserve">το Βασιλικό. </w:t>
      </w:r>
    </w:p>
    <w:p w:rsidR="00194694" w:rsidRDefault="00194694" w:rsidP="00194694">
      <w:pPr>
        <w:spacing w:after="0" w:line="220" w:lineRule="exact"/>
        <w:ind w:left="284"/>
        <w:jc w:val="both"/>
        <w:outlineLvl w:val="0"/>
        <w:rPr>
          <w:rFonts w:cs="Arial"/>
          <w:spacing w:val="-14"/>
          <w:w w:val="80"/>
          <w:kern w:val="48"/>
        </w:rPr>
      </w:pPr>
      <w:r>
        <w:rPr>
          <w:rFonts w:cs="Arial"/>
          <w:b/>
          <w:color w:val="0070C0"/>
          <w:spacing w:val="-14"/>
          <w:w w:val="80"/>
          <w:kern w:val="48"/>
        </w:rPr>
        <w:t xml:space="preserve">      </w:t>
      </w:r>
      <w:r w:rsidR="001C0E35" w:rsidRPr="00A36633">
        <w:rPr>
          <w:rFonts w:cs="Arial"/>
          <w:spacing w:val="-14"/>
          <w:w w:val="80"/>
          <w:kern w:val="48"/>
        </w:rPr>
        <w:t xml:space="preserve">Η εβδομάδα (11.3.24 -14.3.24) θεωρείται κρίσιμη για την εξέλιξη του έργου της κατασκευής του τερματικού παραλαβής και </w:t>
      </w:r>
      <w:proofErr w:type="spellStart"/>
      <w:r w:rsidR="001C0E35" w:rsidRPr="00A36633">
        <w:rPr>
          <w:rFonts w:cs="Arial"/>
          <w:spacing w:val="-14"/>
          <w:w w:val="80"/>
          <w:kern w:val="48"/>
        </w:rPr>
        <w:t>επαναεριοποίησης</w:t>
      </w:r>
      <w:proofErr w:type="spellEnd"/>
      <w:r w:rsidR="001C0E35" w:rsidRPr="00A36633">
        <w:rPr>
          <w:rFonts w:cs="Arial"/>
          <w:spacing w:val="-14"/>
          <w:w w:val="80"/>
          <w:kern w:val="48"/>
        </w:rPr>
        <w:t xml:space="preserve"> υγροποιημένου φυσικού αερίου (LNG) στο φ/α στο Βασιλικό. Οι συναντήσεις του Υπουργού Ενέργειας</w:t>
      </w:r>
      <w:r w:rsidR="00640B5E">
        <w:rPr>
          <w:rFonts w:cs="Arial"/>
          <w:spacing w:val="-14"/>
          <w:w w:val="80"/>
          <w:kern w:val="48"/>
        </w:rPr>
        <w:t>,</w:t>
      </w:r>
      <w:r w:rsidR="001C0E35" w:rsidRPr="00A36633">
        <w:rPr>
          <w:rFonts w:cs="Arial"/>
          <w:spacing w:val="-14"/>
          <w:w w:val="80"/>
          <w:kern w:val="48"/>
        </w:rPr>
        <w:t xml:space="preserve"> κ. Γ. Παπαναστασίου</w:t>
      </w:r>
      <w:r w:rsidR="00640B5E">
        <w:rPr>
          <w:rFonts w:cs="Arial"/>
          <w:spacing w:val="-14"/>
          <w:w w:val="80"/>
          <w:kern w:val="48"/>
        </w:rPr>
        <w:t>,</w:t>
      </w:r>
      <w:r w:rsidR="001C0E35" w:rsidRPr="00A36633">
        <w:rPr>
          <w:rFonts w:cs="Arial"/>
          <w:spacing w:val="-14"/>
          <w:w w:val="80"/>
          <w:kern w:val="48"/>
        </w:rPr>
        <w:t xml:space="preserve"> με τον Πρέσβη της Κίνας στην Κύπρο οδήγησαν σε πρόσκληση στην Κύπρο ανώτατου στελέχους της κοινοπραξίας CCP (</w:t>
      </w:r>
      <w:proofErr w:type="spellStart"/>
      <w:r w:rsidR="001C0E35" w:rsidRPr="00A36633">
        <w:rPr>
          <w:rFonts w:cs="Arial"/>
          <w:spacing w:val="-14"/>
          <w:w w:val="80"/>
          <w:kern w:val="48"/>
        </w:rPr>
        <w:t>China</w:t>
      </w:r>
      <w:proofErr w:type="spellEnd"/>
      <w:r w:rsidR="001C0E35" w:rsidRPr="00A36633">
        <w:rPr>
          <w:rFonts w:cs="Arial"/>
          <w:spacing w:val="-14"/>
          <w:w w:val="80"/>
          <w:kern w:val="48"/>
        </w:rPr>
        <w:t xml:space="preserve"> </w:t>
      </w:r>
      <w:proofErr w:type="spellStart"/>
      <w:r w:rsidR="001C0E35" w:rsidRPr="00A36633">
        <w:rPr>
          <w:rFonts w:cs="Arial"/>
          <w:spacing w:val="-14"/>
          <w:w w:val="80"/>
          <w:kern w:val="48"/>
        </w:rPr>
        <w:t>Petroleum</w:t>
      </w:r>
      <w:proofErr w:type="spellEnd"/>
      <w:r w:rsidR="001C0E35" w:rsidRPr="00A36633">
        <w:rPr>
          <w:rFonts w:cs="Arial"/>
          <w:spacing w:val="-14"/>
          <w:w w:val="80"/>
          <w:kern w:val="48"/>
        </w:rPr>
        <w:t xml:space="preserve"> </w:t>
      </w:r>
      <w:proofErr w:type="spellStart"/>
      <w:r w:rsidR="001C0E35" w:rsidRPr="00A36633">
        <w:rPr>
          <w:rFonts w:cs="Arial"/>
          <w:spacing w:val="-14"/>
          <w:w w:val="80"/>
          <w:kern w:val="48"/>
        </w:rPr>
        <w:t>Pipeline</w:t>
      </w:r>
      <w:proofErr w:type="spellEnd"/>
      <w:r w:rsidR="001C0E35" w:rsidRPr="00A36633">
        <w:rPr>
          <w:rFonts w:cs="Arial"/>
          <w:spacing w:val="-14"/>
          <w:w w:val="80"/>
          <w:kern w:val="48"/>
        </w:rPr>
        <w:t xml:space="preserve"> </w:t>
      </w:r>
      <w:proofErr w:type="spellStart"/>
      <w:r w:rsidR="001C0E35" w:rsidRPr="00A36633">
        <w:rPr>
          <w:rFonts w:cs="Arial"/>
          <w:spacing w:val="-14"/>
          <w:w w:val="80"/>
          <w:kern w:val="48"/>
        </w:rPr>
        <w:t>Engineering</w:t>
      </w:r>
      <w:proofErr w:type="spellEnd"/>
      <w:r w:rsidR="001C0E35" w:rsidRPr="00A36633">
        <w:rPr>
          <w:rFonts w:cs="Arial"/>
          <w:spacing w:val="-14"/>
          <w:w w:val="80"/>
          <w:kern w:val="48"/>
        </w:rPr>
        <w:t>), που έχει αναλάβει την κατασκευή του, ώστε να υπάρξει διαβούλευση για την ταχύτερη δυνατή επανέναρξη των εργασιών στο Βασιλικό και νέο χρονοδιάγραμμα παράδοσής του στην ΕΤΥΦΑ. Από πλευράς εταιρείας</w:t>
      </w:r>
      <w:r w:rsidR="00640B5E">
        <w:rPr>
          <w:rFonts w:cs="Arial"/>
          <w:spacing w:val="-14"/>
          <w:w w:val="80"/>
          <w:kern w:val="48"/>
        </w:rPr>
        <w:t>,</w:t>
      </w:r>
      <w:r w:rsidR="001C0E35" w:rsidRPr="00A36633">
        <w:rPr>
          <w:rFonts w:cs="Arial"/>
          <w:spacing w:val="-14"/>
          <w:w w:val="80"/>
          <w:kern w:val="48"/>
        </w:rPr>
        <w:t xml:space="preserve"> υπήρξε αποδοχή της πρόσκλησης και αναμένεται άφιξη του εν λόγω αξιωματούχου στην Κύπρο για συζητήσεις με τον κ. Παπαναστασίου</w:t>
      </w:r>
      <w:r w:rsidR="00640B5E">
        <w:rPr>
          <w:rFonts w:cs="Arial"/>
          <w:spacing w:val="-14"/>
          <w:w w:val="80"/>
          <w:kern w:val="48"/>
        </w:rPr>
        <w:t>,</w:t>
      </w:r>
      <w:r w:rsidR="001C0E35" w:rsidRPr="00A36633">
        <w:rPr>
          <w:rFonts w:cs="Arial"/>
          <w:spacing w:val="-14"/>
          <w:w w:val="80"/>
          <w:kern w:val="48"/>
        </w:rPr>
        <w:t xml:space="preserve"> ενδεχομένως και πριν από το Σαββατοκύριακο 16 -17 </w:t>
      </w:r>
      <w:proofErr w:type="spellStart"/>
      <w:r w:rsidR="001C0E35" w:rsidRPr="00A36633">
        <w:rPr>
          <w:rFonts w:cs="Arial"/>
          <w:spacing w:val="-14"/>
          <w:w w:val="80"/>
          <w:kern w:val="48"/>
        </w:rPr>
        <w:t>τ.μ</w:t>
      </w:r>
      <w:proofErr w:type="spellEnd"/>
      <w:r w:rsidR="001C0E35" w:rsidRPr="00A36633">
        <w:rPr>
          <w:rFonts w:cs="Arial"/>
          <w:spacing w:val="-14"/>
          <w:w w:val="80"/>
          <w:kern w:val="48"/>
        </w:rPr>
        <w:t>.</w:t>
      </w:r>
      <w:r w:rsidR="00640B5E">
        <w:rPr>
          <w:rFonts w:cs="Arial"/>
          <w:spacing w:val="-14"/>
          <w:w w:val="80"/>
          <w:kern w:val="48"/>
        </w:rPr>
        <w:t>.</w:t>
      </w:r>
      <w:r w:rsidR="001C0E35" w:rsidRPr="00A36633">
        <w:rPr>
          <w:rFonts w:cs="Arial"/>
          <w:spacing w:val="-14"/>
          <w:w w:val="80"/>
          <w:kern w:val="48"/>
        </w:rPr>
        <w:t xml:space="preserve"> </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1C0E35" w:rsidRPr="00A36633">
        <w:rPr>
          <w:rFonts w:cs="Arial"/>
          <w:spacing w:val="-14"/>
          <w:w w:val="80"/>
          <w:kern w:val="48"/>
        </w:rPr>
        <w:t>Σύμφωνα με δημοσιογραφικές πληροφορίες</w:t>
      </w:r>
      <w:r w:rsidR="00640B5E">
        <w:rPr>
          <w:rFonts w:cs="Arial"/>
          <w:spacing w:val="-14"/>
          <w:w w:val="80"/>
          <w:kern w:val="48"/>
        </w:rPr>
        <w:t>,</w:t>
      </w:r>
      <w:r w:rsidR="001C0E35" w:rsidRPr="00A36633">
        <w:rPr>
          <w:rFonts w:cs="Arial"/>
          <w:spacing w:val="-14"/>
          <w:w w:val="80"/>
          <w:kern w:val="48"/>
        </w:rPr>
        <w:t xml:space="preserve"> κατά την προεργασία που έγινε με τον Πρέσβη της Κίνας στη Λευκωσία</w:t>
      </w:r>
      <w:r w:rsidR="00640B5E">
        <w:rPr>
          <w:rFonts w:cs="Arial"/>
          <w:spacing w:val="-14"/>
          <w:w w:val="80"/>
          <w:kern w:val="48"/>
        </w:rPr>
        <w:t>, η κ/</w:t>
      </w:r>
      <w:r w:rsidR="001C0E35" w:rsidRPr="00A36633">
        <w:rPr>
          <w:rFonts w:cs="Arial"/>
          <w:spacing w:val="-14"/>
          <w:w w:val="80"/>
          <w:kern w:val="48"/>
        </w:rPr>
        <w:t>πλευρά τόνισε τα ακόλουθα, πλείστα εκ των οποίων έχουν αναφερθεί ήδη δημοσίως από τον Υπο</w:t>
      </w:r>
      <w:r>
        <w:rPr>
          <w:rFonts w:cs="Arial"/>
          <w:spacing w:val="-14"/>
          <w:w w:val="80"/>
          <w:kern w:val="48"/>
        </w:rPr>
        <w:t>υργό και άλλους αξιωματούχους :</w:t>
      </w:r>
    </w:p>
    <w:p w:rsidR="00194694" w:rsidRDefault="001C0E35" w:rsidP="00194694">
      <w:pPr>
        <w:spacing w:after="0" w:line="220" w:lineRule="exact"/>
        <w:ind w:left="284"/>
        <w:jc w:val="both"/>
        <w:outlineLvl w:val="0"/>
        <w:rPr>
          <w:rFonts w:cs="Arial"/>
          <w:spacing w:val="-14"/>
          <w:w w:val="80"/>
          <w:kern w:val="48"/>
        </w:rPr>
      </w:pPr>
      <w:r w:rsidRPr="00A36633">
        <w:rPr>
          <w:rFonts w:cs="Arial"/>
          <w:spacing w:val="-14"/>
          <w:w w:val="80"/>
          <w:kern w:val="48"/>
        </w:rPr>
        <w:t>– Οι όποιες πρόσθετες οικονομικές απαιτήσεις της CPP θα εξεταστούν μόνο σε επίπεδο Διαιτητικού Δικαστηρίου στο Λονδίνο.</w:t>
      </w:r>
    </w:p>
    <w:p w:rsidR="00194694" w:rsidRDefault="001C0E35" w:rsidP="00194694">
      <w:pPr>
        <w:spacing w:after="0" w:line="220" w:lineRule="exact"/>
        <w:ind w:left="284"/>
        <w:jc w:val="both"/>
        <w:outlineLvl w:val="0"/>
        <w:rPr>
          <w:rFonts w:cs="Arial"/>
          <w:spacing w:val="-14"/>
          <w:w w:val="80"/>
          <w:kern w:val="48"/>
        </w:rPr>
      </w:pPr>
      <w:r w:rsidRPr="00A36633">
        <w:rPr>
          <w:rFonts w:cs="Arial"/>
          <w:spacing w:val="-14"/>
          <w:w w:val="80"/>
          <w:kern w:val="48"/>
        </w:rPr>
        <w:t xml:space="preserve">– Η κυπριακή Κυβέρνηση δεν προτίθεται να καταβάλει κανένα χρηματικό ποσόν («ούτε </w:t>
      </w:r>
      <w:proofErr w:type="spellStart"/>
      <w:r w:rsidRPr="00A36633">
        <w:rPr>
          <w:rFonts w:cs="Arial"/>
          <w:spacing w:val="-14"/>
          <w:w w:val="80"/>
          <w:kern w:val="48"/>
        </w:rPr>
        <w:t>σεντ</w:t>
      </w:r>
      <w:proofErr w:type="spellEnd"/>
      <w:r w:rsidRPr="00A36633">
        <w:rPr>
          <w:rFonts w:cs="Arial"/>
          <w:spacing w:val="-14"/>
          <w:w w:val="80"/>
          <w:kern w:val="48"/>
        </w:rPr>
        <w:t>», όπως δήλωσε ο Υπουργός Ενέργειας) ως μέρος άλλης διαβούλευσης, ενώ βρίσκεται σε εξέλιξη άλλη διαδικασία.</w:t>
      </w:r>
    </w:p>
    <w:p w:rsidR="00194694" w:rsidRDefault="001C0E35" w:rsidP="00194694">
      <w:pPr>
        <w:spacing w:after="0" w:line="220" w:lineRule="exact"/>
        <w:ind w:left="284"/>
        <w:jc w:val="both"/>
        <w:outlineLvl w:val="0"/>
        <w:rPr>
          <w:rFonts w:cs="Arial"/>
          <w:spacing w:val="-14"/>
          <w:w w:val="80"/>
          <w:kern w:val="48"/>
        </w:rPr>
      </w:pPr>
      <w:r w:rsidRPr="00A36633">
        <w:rPr>
          <w:rFonts w:cs="Arial"/>
          <w:spacing w:val="-14"/>
          <w:w w:val="80"/>
          <w:kern w:val="48"/>
        </w:rPr>
        <w:t>– Η CPP πρέπει να ενημερώσει</w:t>
      </w:r>
      <w:r w:rsidR="00640B5E">
        <w:rPr>
          <w:rFonts w:cs="Arial"/>
          <w:spacing w:val="-14"/>
          <w:w w:val="80"/>
          <w:kern w:val="48"/>
        </w:rPr>
        <w:t>,</w:t>
      </w:r>
      <w:r w:rsidRPr="00A36633">
        <w:rPr>
          <w:rFonts w:cs="Arial"/>
          <w:spacing w:val="-14"/>
          <w:w w:val="80"/>
          <w:kern w:val="48"/>
        </w:rPr>
        <w:t xml:space="preserve"> χωρίς άλλη καθυστέρηση για την ημερομηνία επανέναρξης του έργου στο Βασιλικό, το οποίο εγκατέλειψε.</w:t>
      </w:r>
    </w:p>
    <w:p w:rsidR="00194694" w:rsidRDefault="001C0E35" w:rsidP="00194694">
      <w:pPr>
        <w:spacing w:after="0" w:line="220" w:lineRule="exact"/>
        <w:ind w:left="284"/>
        <w:jc w:val="both"/>
        <w:outlineLvl w:val="0"/>
        <w:rPr>
          <w:rFonts w:cs="Arial"/>
          <w:spacing w:val="-14"/>
          <w:w w:val="80"/>
          <w:kern w:val="48"/>
        </w:rPr>
      </w:pPr>
      <w:r w:rsidRPr="00A36633">
        <w:rPr>
          <w:rFonts w:cs="Arial"/>
          <w:spacing w:val="-14"/>
          <w:w w:val="80"/>
          <w:kern w:val="48"/>
        </w:rPr>
        <w:t xml:space="preserve">– Αν η CPP δεν είναι σε θέση να επιστρέψει στο έργο και να συνεχίσει τις εργασίες σε συμφωνημένη ημερομηνία, η Κυπριακή Δημοκρατία θα διακόψει το </w:t>
      </w:r>
      <w:r w:rsidRPr="00A36633">
        <w:rPr>
          <w:rFonts w:cs="Arial"/>
          <w:spacing w:val="-14"/>
          <w:w w:val="80"/>
          <w:kern w:val="48"/>
        </w:rPr>
        <w:lastRenderedPageBreak/>
        <w:t>συμβόλαιο και θα αναζητήσει εναλλακτική λύση για την ολοκλήρωση του τερματικού.</w:t>
      </w:r>
    </w:p>
    <w:p w:rsidR="00194694" w:rsidRDefault="001C0E35" w:rsidP="00194694">
      <w:pPr>
        <w:spacing w:after="0" w:line="220" w:lineRule="exact"/>
        <w:ind w:left="284"/>
        <w:jc w:val="both"/>
        <w:outlineLvl w:val="0"/>
        <w:rPr>
          <w:rFonts w:cs="Arial"/>
          <w:spacing w:val="-14"/>
          <w:w w:val="80"/>
          <w:kern w:val="48"/>
        </w:rPr>
      </w:pPr>
      <w:r w:rsidRPr="00A36633">
        <w:rPr>
          <w:rFonts w:cs="Arial"/>
          <w:spacing w:val="-14"/>
          <w:w w:val="80"/>
          <w:kern w:val="48"/>
        </w:rPr>
        <w:t>– Επιθυμία της Κυπριακής Δημοκρατίας είναι η ολοκλήρωση και παράδοση του έργου από τον υφιστάμενο εργολάβο.</w:t>
      </w:r>
    </w:p>
    <w:p w:rsidR="00194694" w:rsidRDefault="00194694" w:rsidP="00194694">
      <w:pPr>
        <w:spacing w:after="0" w:line="220" w:lineRule="exact"/>
        <w:ind w:left="284"/>
        <w:jc w:val="both"/>
        <w:outlineLvl w:val="0"/>
        <w:rPr>
          <w:rFonts w:cs="Arial"/>
          <w:spacing w:val="-14"/>
          <w:w w:val="80"/>
          <w:kern w:val="48"/>
        </w:rPr>
      </w:pPr>
    </w:p>
    <w:p w:rsidR="00194694" w:rsidRDefault="00A36633" w:rsidP="00194694">
      <w:pPr>
        <w:spacing w:after="0" w:line="220" w:lineRule="exact"/>
        <w:ind w:left="284"/>
        <w:jc w:val="both"/>
        <w:outlineLvl w:val="0"/>
        <w:rPr>
          <w:rFonts w:cs="Arial"/>
          <w:b/>
          <w:bCs/>
          <w:color w:val="0070C0"/>
          <w:spacing w:val="-14"/>
          <w:w w:val="80"/>
          <w:kern w:val="48"/>
        </w:rPr>
      </w:pPr>
      <w:r w:rsidRPr="00B77D7A">
        <w:rPr>
          <w:rFonts w:cs="Arial"/>
          <w:b/>
          <w:bCs/>
          <w:color w:val="0070C0"/>
          <w:spacing w:val="-14"/>
          <w:w w:val="80"/>
          <w:kern w:val="48"/>
        </w:rPr>
        <w:t>6..6</w:t>
      </w:r>
      <w:r w:rsidR="00ED00A9" w:rsidRPr="00B77D7A">
        <w:rPr>
          <w:rFonts w:cs="Arial"/>
          <w:b/>
          <w:bCs/>
          <w:color w:val="0070C0"/>
          <w:spacing w:val="-14"/>
          <w:w w:val="80"/>
          <w:kern w:val="48"/>
        </w:rPr>
        <w:t xml:space="preserve">  </w:t>
      </w:r>
      <w:r w:rsidR="008E36CF" w:rsidRPr="00B77D7A">
        <w:rPr>
          <w:rFonts w:cs="Arial"/>
          <w:b/>
          <w:bCs/>
          <w:color w:val="0070C0"/>
          <w:spacing w:val="-14"/>
          <w:w w:val="80"/>
          <w:kern w:val="48"/>
        </w:rPr>
        <w:t xml:space="preserve">Καταβολή στην Κύπρο προκαταβολής από τον Μηχανισμό Ανάκαμψης και Ανθεκτικότητας για την εφαρμογή των μέτρων του </w:t>
      </w:r>
      <w:proofErr w:type="spellStart"/>
      <w:r w:rsidR="008E36CF" w:rsidRPr="00B77D7A">
        <w:rPr>
          <w:rFonts w:cs="Arial"/>
          <w:b/>
          <w:bCs/>
          <w:color w:val="0070C0"/>
          <w:spacing w:val="-14"/>
          <w:w w:val="80"/>
          <w:kern w:val="48"/>
        </w:rPr>
        <w:t>REPowerEU</w:t>
      </w:r>
      <w:proofErr w:type="spellEnd"/>
    </w:p>
    <w:p w:rsidR="00194694" w:rsidRDefault="00194694" w:rsidP="00194694">
      <w:pPr>
        <w:spacing w:after="0" w:line="220" w:lineRule="exact"/>
        <w:ind w:left="284"/>
        <w:jc w:val="both"/>
        <w:outlineLvl w:val="0"/>
        <w:rPr>
          <w:rFonts w:cs="Arial"/>
          <w:b/>
          <w:bCs/>
          <w:color w:val="0070C0"/>
          <w:spacing w:val="-14"/>
          <w:w w:val="80"/>
          <w:kern w:val="48"/>
        </w:rPr>
      </w:pPr>
    </w:p>
    <w:p w:rsidR="00194694" w:rsidRDefault="00194694" w:rsidP="00194694">
      <w:pPr>
        <w:spacing w:after="0" w:line="220" w:lineRule="exact"/>
        <w:ind w:left="284"/>
        <w:jc w:val="both"/>
        <w:outlineLvl w:val="0"/>
        <w:rPr>
          <w:rFonts w:cs="Arial"/>
          <w:bCs/>
          <w:spacing w:val="-14"/>
          <w:w w:val="80"/>
          <w:kern w:val="48"/>
        </w:rPr>
      </w:pPr>
      <w:r>
        <w:rPr>
          <w:rFonts w:cs="Arial"/>
          <w:b/>
          <w:bCs/>
          <w:color w:val="0070C0"/>
          <w:spacing w:val="-14"/>
          <w:w w:val="80"/>
          <w:kern w:val="48"/>
        </w:rPr>
        <w:t xml:space="preserve">      </w:t>
      </w:r>
      <w:r w:rsidR="00A36633" w:rsidRPr="00A36633">
        <w:rPr>
          <w:rFonts w:cs="Arial"/>
          <w:bCs/>
          <w:spacing w:val="-14"/>
          <w:w w:val="80"/>
          <w:kern w:val="48"/>
        </w:rPr>
        <w:t>Η Ευρωπαϊκή Επιτροπή ανακοίνωσε</w:t>
      </w:r>
      <w:r w:rsidR="00640B5E">
        <w:rPr>
          <w:rFonts w:cs="Arial"/>
          <w:bCs/>
          <w:spacing w:val="-14"/>
          <w:w w:val="80"/>
          <w:kern w:val="48"/>
        </w:rPr>
        <w:t>,</w:t>
      </w:r>
      <w:r w:rsidR="00A36633" w:rsidRPr="00A36633">
        <w:rPr>
          <w:rFonts w:cs="Arial"/>
          <w:bCs/>
          <w:spacing w:val="-14"/>
          <w:w w:val="80"/>
          <w:kern w:val="48"/>
        </w:rPr>
        <w:t xml:space="preserve"> την Τρίτη 25.1. </w:t>
      </w:r>
      <w:proofErr w:type="spellStart"/>
      <w:r w:rsidR="00A36633" w:rsidRPr="00A36633">
        <w:rPr>
          <w:rFonts w:cs="Arial"/>
          <w:bCs/>
          <w:spacing w:val="-14"/>
          <w:w w:val="80"/>
          <w:kern w:val="48"/>
        </w:rPr>
        <w:t>τ.έ</w:t>
      </w:r>
      <w:proofErr w:type="spellEnd"/>
      <w:r w:rsidR="00A36633" w:rsidRPr="00A36633">
        <w:rPr>
          <w:rFonts w:cs="Arial"/>
          <w:bCs/>
          <w:spacing w:val="-14"/>
          <w:w w:val="80"/>
          <w:kern w:val="48"/>
        </w:rPr>
        <w:t>.</w:t>
      </w:r>
      <w:r w:rsidR="00640B5E">
        <w:rPr>
          <w:rFonts w:cs="Arial"/>
          <w:bCs/>
          <w:spacing w:val="-14"/>
          <w:w w:val="80"/>
          <w:kern w:val="48"/>
        </w:rPr>
        <w:t>,</w:t>
      </w:r>
      <w:r w:rsidR="00A36633" w:rsidRPr="00A36633">
        <w:rPr>
          <w:rFonts w:cs="Arial"/>
          <w:bCs/>
          <w:spacing w:val="-14"/>
          <w:w w:val="80"/>
          <w:kern w:val="48"/>
        </w:rPr>
        <w:t xml:space="preserve"> την  καταβολή στην Κύπρο κονδυλίων</w:t>
      </w:r>
      <w:r w:rsidR="00640B5E">
        <w:rPr>
          <w:rFonts w:cs="Arial"/>
          <w:bCs/>
          <w:spacing w:val="-14"/>
          <w:w w:val="80"/>
          <w:kern w:val="48"/>
        </w:rPr>
        <w:t>, ύψους 20,9 εκ</w:t>
      </w:r>
      <w:r w:rsidR="00A36633" w:rsidRPr="00A36633">
        <w:rPr>
          <w:rFonts w:cs="Arial"/>
          <w:bCs/>
          <w:spacing w:val="-14"/>
          <w:w w:val="80"/>
          <w:kern w:val="48"/>
        </w:rPr>
        <w:t xml:space="preserve">. Ευρώ από τον Μηχανισμό Ανάκαμψης και Ανθεκτικότητας της ΕΕ, ως προκαταβολή για την εφαρμογή των Μέτρων του </w:t>
      </w:r>
      <w:proofErr w:type="spellStart"/>
      <w:r w:rsidR="00A36633" w:rsidRPr="00A36633">
        <w:rPr>
          <w:rFonts w:cs="Arial"/>
          <w:bCs/>
          <w:spacing w:val="-14"/>
          <w:w w:val="80"/>
          <w:kern w:val="48"/>
        </w:rPr>
        <w:t>REPowerEU</w:t>
      </w:r>
      <w:proofErr w:type="spellEnd"/>
      <w:r w:rsidR="00A36633" w:rsidRPr="00A36633">
        <w:rPr>
          <w:rFonts w:cs="Arial"/>
          <w:bCs/>
          <w:spacing w:val="-14"/>
          <w:w w:val="80"/>
          <w:kern w:val="48"/>
        </w:rPr>
        <w:t>, απόφαση την οποία χαιρέτισε ο Υπουργός Οικονομικών</w:t>
      </w:r>
      <w:r w:rsidR="00640B5E">
        <w:rPr>
          <w:rFonts w:cs="Arial"/>
          <w:bCs/>
          <w:spacing w:val="-14"/>
          <w:w w:val="80"/>
          <w:kern w:val="48"/>
        </w:rPr>
        <w:t>,</w:t>
      </w:r>
      <w:r w:rsidR="00A36633" w:rsidRPr="00A36633">
        <w:rPr>
          <w:rFonts w:cs="Arial"/>
          <w:bCs/>
          <w:spacing w:val="-14"/>
          <w:w w:val="80"/>
          <w:kern w:val="48"/>
        </w:rPr>
        <w:t xml:space="preserve"> κ. Μ. Κεραυνός. </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A36633" w:rsidRPr="00A36633">
        <w:rPr>
          <w:rFonts w:cs="Arial"/>
          <w:bCs/>
          <w:spacing w:val="-14"/>
          <w:w w:val="80"/>
          <w:kern w:val="48"/>
        </w:rPr>
        <w:t>Σύμφωνα με σχετική ανακοίνωση του Υπουργείου Οικονομικών</w:t>
      </w:r>
      <w:r w:rsidR="00640B5E">
        <w:rPr>
          <w:rFonts w:cs="Arial"/>
          <w:bCs/>
          <w:spacing w:val="-14"/>
          <w:w w:val="80"/>
          <w:kern w:val="48"/>
        </w:rPr>
        <w:t>,</w:t>
      </w:r>
      <w:r w:rsidR="00A36633" w:rsidRPr="00A36633">
        <w:rPr>
          <w:rFonts w:cs="Arial"/>
          <w:bCs/>
          <w:spacing w:val="-14"/>
          <w:w w:val="80"/>
          <w:kern w:val="48"/>
        </w:rPr>
        <w:t xml:space="preserve"> η Κύπρος έχει εξασφαλίσει ποσόν</w:t>
      </w:r>
      <w:r w:rsidR="00640B5E">
        <w:rPr>
          <w:rFonts w:cs="Arial"/>
          <w:bCs/>
          <w:spacing w:val="-14"/>
          <w:w w:val="80"/>
          <w:kern w:val="48"/>
        </w:rPr>
        <w:t>,</w:t>
      </w:r>
      <w:r w:rsidR="00A36633" w:rsidRPr="00A36633">
        <w:rPr>
          <w:rFonts w:cs="Arial"/>
          <w:bCs/>
          <w:spacing w:val="-14"/>
          <w:w w:val="80"/>
          <w:kern w:val="48"/>
        </w:rPr>
        <w:t xml:space="preserve"> ύψους 104 εκ. Ευρώ</w:t>
      </w:r>
      <w:r w:rsidR="00640B5E">
        <w:rPr>
          <w:rFonts w:cs="Arial"/>
          <w:bCs/>
          <w:spacing w:val="-14"/>
          <w:w w:val="80"/>
          <w:kern w:val="48"/>
        </w:rPr>
        <w:t>,</w:t>
      </w:r>
      <w:r w:rsidR="00A36633" w:rsidRPr="00A36633">
        <w:rPr>
          <w:rFonts w:cs="Arial"/>
          <w:bCs/>
          <w:spacing w:val="-14"/>
          <w:w w:val="80"/>
          <w:kern w:val="48"/>
        </w:rPr>
        <w:t xml:space="preserve"> για χρηματοδότηση του νέου Κεφαλαίου </w:t>
      </w:r>
      <w:proofErr w:type="spellStart"/>
      <w:r w:rsidR="00A36633" w:rsidRPr="00A36633">
        <w:rPr>
          <w:rFonts w:cs="Arial"/>
          <w:bCs/>
          <w:spacing w:val="-14"/>
          <w:w w:val="80"/>
          <w:kern w:val="48"/>
        </w:rPr>
        <w:t>REPowerEU</w:t>
      </w:r>
      <w:proofErr w:type="spellEnd"/>
      <w:r w:rsidR="00A36633" w:rsidRPr="00A36633">
        <w:rPr>
          <w:rFonts w:cs="Arial"/>
          <w:bCs/>
          <w:spacing w:val="-14"/>
          <w:w w:val="80"/>
          <w:kern w:val="48"/>
        </w:rPr>
        <w:t>, στο πλαίσιο του Εθνικού Σχεδίου Ανάκαμψης και Ανθεκτικότητας</w:t>
      </w:r>
      <w:r w:rsidR="00640B5E">
        <w:rPr>
          <w:rFonts w:cs="Arial"/>
          <w:bCs/>
          <w:spacing w:val="-14"/>
          <w:w w:val="80"/>
          <w:kern w:val="48"/>
        </w:rPr>
        <w:t>,</w:t>
      </w:r>
      <w:r w:rsidR="00A36633" w:rsidRPr="00A36633">
        <w:rPr>
          <w:rFonts w:cs="Arial"/>
          <w:bCs/>
          <w:spacing w:val="-14"/>
          <w:w w:val="80"/>
          <w:kern w:val="48"/>
        </w:rPr>
        <w:t xml:space="preserve"> "Κύπρος - το αύριο"</w:t>
      </w:r>
      <w:r w:rsidR="00640B5E">
        <w:rPr>
          <w:rFonts w:cs="Arial"/>
          <w:bCs/>
          <w:spacing w:val="-14"/>
          <w:w w:val="80"/>
          <w:kern w:val="48"/>
        </w:rPr>
        <w:t>,</w:t>
      </w:r>
      <w:r w:rsidR="00A36633" w:rsidRPr="00A36633">
        <w:rPr>
          <w:rFonts w:cs="Arial"/>
          <w:bCs/>
          <w:spacing w:val="-14"/>
          <w:w w:val="80"/>
          <w:kern w:val="48"/>
        </w:rPr>
        <w:t xml:space="preserve"> για εφαρμογή πρόσθετων μεταρρυθμίσεων, αλλά και νέων ή αναβαθμισμένων σχεδίων κινήτρων για ενεργειακή αναβάθμιση καθώς και για περαιτέρω προώθηση της ηλεκτροκίνησης, με ορίζοντα υλοποίησης</w:t>
      </w:r>
      <w:r w:rsidR="00640B5E">
        <w:rPr>
          <w:rFonts w:cs="Arial"/>
          <w:bCs/>
          <w:spacing w:val="-14"/>
          <w:w w:val="80"/>
          <w:kern w:val="48"/>
        </w:rPr>
        <w:t>,</w:t>
      </w:r>
      <w:r w:rsidR="00A36633" w:rsidRPr="00A36633">
        <w:rPr>
          <w:rFonts w:cs="Arial"/>
          <w:bCs/>
          <w:spacing w:val="-14"/>
          <w:w w:val="80"/>
          <w:kern w:val="48"/>
        </w:rPr>
        <w:t xml:space="preserve"> το 2026. Στην ανακοίνωση</w:t>
      </w:r>
      <w:r w:rsidR="00640B5E">
        <w:rPr>
          <w:rFonts w:cs="Arial"/>
          <w:bCs/>
          <w:spacing w:val="-14"/>
          <w:w w:val="80"/>
          <w:kern w:val="48"/>
        </w:rPr>
        <w:t>,</w:t>
      </w:r>
      <w:r w:rsidR="00A36633" w:rsidRPr="00A36633">
        <w:rPr>
          <w:rFonts w:cs="Arial"/>
          <w:bCs/>
          <w:spacing w:val="-14"/>
          <w:w w:val="80"/>
          <w:kern w:val="48"/>
        </w:rPr>
        <w:t xml:space="preserve"> ο κ. Κεραυνός ευχαριστεί την Ευρωπαϊκή Επιτροπή για τη στενή συνεργασία, όλους τους εταίρους καθώς και τους φορείς υλοποίησης του Εθνικού Σχεδίου της Κύπρου και «διαβεβαιώνει ότι θα συνεχιστούν οι προσπάθειες της Κυβέρνησης για επίτευξη του συνόλου των στόχων και οροσήμων έγκαιρα και πάντως στο πλαίσιο των χρονοδιαγραμμάτων που έχουν συμφωνηθεί». </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640B5E">
        <w:rPr>
          <w:rFonts w:cs="Arial"/>
          <w:bCs/>
          <w:spacing w:val="-14"/>
          <w:w w:val="80"/>
          <w:kern w:val="48"/>
        </w:rPr>
        <w:t>Σύμφωνα με το κ/</w:t>
      </w:r>
      <w:r w:rsidR="00A36633" w:rsidRPr="00A36633">
        <w:rPr>
          <w:rFonts w:cs="Arial"/>
          <w:bCs/>
          <w:spacing w:val="-14"/>
          <w:w w:val="80"/>
          <w:kern w:val="48"/>
        </w:rPr>
        <w:t>ΥΠΟΙΚ</w:t>
      </w:r>
      <w:r w:rsidR="00640B5E">
        <w:rPr>
          <w:rFonts w:cs="Arial"/>
          <w:bCs/>
          <w:spacing w:val="-14"/>
          <w:w w:val="80"/>
          <w:kern w:val="48"/>
        </w:rPr>
        <w:t>,</w:t>
      </w:r>
      <w:r w:rsidR="00A36633" w:rsidRPr="00A36633">
        <w:rPr>
          <w:rFonts w:cs="Arial"/>
          <w:bCs/>
          <w:spacing w:val="-14"/>
          <w:w w:val="80"/>
          <w:kern w:val="48"/>
        </w:rPr>
        <w:t xml:space="preserve"> μέχρι σήμερα</w:t>
      </w:r>
      <w:r w:rsidR="00640B5E">
        <w:rPr>
          <w:rFonts w:cs="Arial"/>
          <w:bCs/>
          <w:spacing w:val="-14"/>
          <w:w w:val="80"/>
          <w:kern w:val="48"/>
        </w:rPr>
        <w:t>,</w:t>
      </w:r>
      <w:r w:rsidR="00A36633" w:rsidRPr="00A36633">
        <w:rPr>
          <w:rFonts w:cs="Arial"/>
          <w:bCs/>
          <w:spacing w:val="-14"/>
          <w:w w:val="80"/>
          <w:kern w:val="48"/>
        </w:rPr>
        <w:t xml:space="preserve"> έχει εισπραχθεί από τον Μηχανισμό Ανάκαμψης και Ανθεκτικότητας</w:t>
      </w:r>
      <w:r w:rsidR="00640B5E">
        <w:rPr>
          <w:rFonts w:cs="Arial"/>
          <w:bCs/>
          <w:spacing w:val="-14"/>
          <w:w w:val="80"/>
          <w:kern w:val="48"/>
        </w:rPr>
        <w:t>,</w:t>
      </w:r>
      <w:r w:rsidR="00A36633" w:rsidRPr="00A36633">
        <w:rPr>
          <w:rFonts w:cs="Arial"/>
          <w:bCs/>
          <w:spacing w:val="-14"/>
          <w:w w:val="80"/>
          <w:kern w:val="48"/>
        </w:rPr>
        <w:t xml:space="preserve"> ποσόν</w:t>
      </w:r>
      <w:r w:rsidR="00640B5E">
        <w:rPr>
          <w:rFonts w:cs="Arial"/>
          <w:bCs/>
          <w:spacing w:val="-14"/>
          <w:w w:val="80"/>
          <w:kern w:val="48"/>
        </w:rPr>
        <w:t>,</w:t>
      </w:r>
      <w:r w:rsidR="00A36633" w:rsidRPr="00A36633">
        <w:rPr>
          <w:rFonts w:cs="Arial"/>
          <w:bCs/>
          <w:spacing w:val="-14"/>
          <w:w w:val="80"/>
          <w:kern w:val="48"/>
        </w:rPr>
        <w:t xml:space="preserve"> ύψους 263 εκ. Ευρώ και με την ολοκλήρωση των απαιτούμενων ελέγχων, που τώρα διενεργούνται από τους θεσμούς της ΕΕ επί της αίτησης πληρωμής της 2ης και της 3ης δόσης, που υποβλήθηκε από την Κυπριακή Δημοκρατία στις 15.12.23 θα εισπραχθούν άλλα 152,2 εκ. Ευρώ. Εντός του 2024</w:t>
      </w:r>
      <w:r w:rsidR="00640B5E">
        <w:rPr>
          <w:rFonts w:cs="Arial"/>
          <w:bCs/>
          <w:spacing w:val="-14"/>
          <w:w w:val="80"/>
          <w:kern w:val="48"/>
        </w:rPr>
        <w:t>,</w:t>
      </w:r>
      <w:r w:rsidR="00A36633" w:rsidRPr="00A36633">
        <w:rPr>
          <w:rFonts w:cs="Arial"/>
          <w:bCs/>
          <w:spacing w:val="-14"/>
          <w:w w:val="80"/>
          <w:kern w:val="48"/>
        </w:rPr>
        <w:t xml:space="preserve"> ακολουθεί η υποβολή δύο αιτήσεων πληρωμής για την 4η και 5η δόση για είσπραξη 197 εκ. Ευρώ. </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A36633" w:rsidRPr="00A36633">
        <w:rPr>
          <w:rFonts w:cs="Arial"/>
          <w:bCs/>
          <w:spacing w:val="-14"/>
          <w:w w:val="80"/>
          <w:kern w:val="48"/>
        </w:rPr>
        <w:t>Σύμφωνα, πάντα</w:t>
      </w:r>
      <w:r w:rsidR="00640B5E">
        <w:rPr>
          <w:rFonts w:cs="Arial"/>
          <w:bCs/>
          <w:spacing w:val="-14"/>
          <w:w w:val="80"/>
          <w:kern w:val="48"/>
        </w:rPr>
        <w:t xml:space="preserve"> με στοιχεία του κ/</w:t>
      </w:r>
      <w:r w:rsidR="00A36633" w:rsidRPr="00A36633">
        <w:rPr>
          <w:rFonts w:cs="Arial"/>
          <w:bCs/>
          <w:spacing w:val="-14"/>
          <w:w w:val="80"/>
          <w:kern w:val="48"/>
        </w:rPr>
        <w:t>ΥΠΟΙΚ, συνολικά, οι εισπράξεις από τον Μηχανισμό Ανάκαμψης και Ανθεκτικότητας ανήλθαν σε 415 εκ. Ευρώ</w:t>
      </w:r>
      <w:r w:rsidR="00640B5E">
        <w:rPr>
          <w:rFonts w:cs="Arial"/>
          <w:bCs/>
          <w:spacing w:val="-14"/>
          <w:w w:val="80"/>
          <w:kern w:val="48"/>
        </w:rPr>
        <w:t>,</w:t>
      </w:r>
      <w:r w:rsidR="00A36633" w:rsidRPr="00A36633">
        <w:rPr>
          <w:rFonts w:cs="Arial"/>
          <w:bCs/>
          <w:spacing w:val="-14"/>
          <w:w w:val="80"/>
          <w:kern w:val="48"/>
        </w:rPr>
        <w:t xml:space="preserve"> από το 2021 μέχρι και πρώτο τετράμηνο 2024. Αναλυτικά</w:t>
      </w:r>
      <w:r w:rsidR="00640B5E">
        <w:rPr>
          <w:rFonts w:cs="Arial"/>
          <w:bCs/>
          <w:spacing w:val="-14"/>
          <w:w w:val="80"/>
          <w:kern w:val="48"/>
        </w:rPr>
        <w:t>,</w:t>
      </w:r>
      <w:r>
        <w:rPr>
          <w:rFonts w:cs="Arial"/>
          <w:bCs/>
          <w:spacing w:val="-14"/>
          <w:w w:val="80"/>
          <w:kern w:val="48"/>
        </w:rPr>
        <w:t xml:space="preserve"> έχουν ως ακολούθως</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A36633" w:rsidRPr="00A36633">
        <w:rPr>
          <w:rFonts w:cs="Arial"/>
          <w:bCs/>
          <w:spacing w:val="-14"/>
          <w:w w:val="80"/>
          <w:kern w:val="48"/>
        </w:rPr>
        <w:t xml:space="preserve">  Με την υποβολή και έγκριση του αρχικού Σχεδίου</w:t>
      </w:r>
      <w:r w:rsidR="00640B5E">
        <w:rPr>
          <w:rFonts w:cs="Arial"/>
          <w:bCs/>
          <w:spacing w:val="-14"/>
          <w:w w:val="80"/>
          <w:kern w:val="48"/>
        </w:rPr>
        <w:t>,</w:t>
      </w:r>
      <w:r w:rsidR="00A36633" w:rsidRPr="00A36633">
        <w:rPr>
          <w:rFonts w:cs="Arial"/>
          <w:bCs/>
          <w:spacing w:val="-14"/>
          <w:w w:val="80"/>
          <w:kern w:val="48"/>
        </w:rPr>
        <w:t xml:space="preserve"> το 2021</w:t>
      </w:r>
      <w:r w:rsidR="00640B5E">
        <w:rPr>
          <w:rFonts w:cs="Arial"/>
          <w:bCs/>
          <w:spacing w:val="-14"/>
          <w:w w:val="80"/>
          <w:kern w:val="48"/>
        </w:rPr>
        <w:t>,</w:t>
      </w:r>
      <w:r w:rsidR="00A36633" w:rsidRPr="00A36633">
        <w:rPr>
          <w:rFonts w:cs="Arial"/>
          <w:bCs/>
          <w:spacing w:val="-14"/>
          <w:w w:val="80"/>
          <w:kern w:val="48"/>
        </w:rPr>
        <w:t xml:space="preserve"> έγινε η εκταμίευση της προκαταβολής, ύψους 157 εκ. Ευρώ.</w:t>
      </w:r>
      <w:r w:rsidR="00640B5E">
        <w:rPr>
          <w:rFonts w:cs="Arial"/>
          <w:bCs/>
          <w:spacing w:val="-14"/>
          <w:w w:val="80"/>
          <w:kern w:val="48"/>
        </w:rPr>
        <w:t xml:space="preserve"> Με την επίτευξη των πρώτων 14</w:t>
      </w:r>
      <w:r w:rsidR="00A36633" w:rsidRPr="00A36633">
        <w:rPr>
          <w:rFonts w:cs="Arial"/>
          <w:bCs/>
          <w:spacing w:val="-14"/>
          <w:w w:val="80"/>
          <w:kern w:val="48"/>
        </w:rPr>
        <w:t xml:space="preserve"> οροσήμων έγινε</w:t>
      </w:r>
      <w:r w:rsidR="00640B5E">
        <w:rPr>
          <w:rFonts w:cs="Arial"/>
          <w:bCs/>
          <w:spacing w:val="-14"/>
          <w:w w:val="80"/>
          <w:kern w:val="48"/>
        </w:rPr>
        <w:t>,</w:t>
      </w:r>
      <w:r w:rsidR="00A36633" w:rsidRPr="00A36633">
        <w:rPr>
          <w:rFonts w:cs="Arial"/>
          <w:bCs/>
          <w:spacing w:val="-14"/>
          <w:w w:val="80"/>
          <w:kern w:val="48"/>
        </w:rPr>
        <w:t xml:space="preserve"> το 2022</w:t>
      </w:r>
      <w:r w:rsidR="00640B5E">
        <w:rPr>
          <w:rFonts w:cs="Arial"/>
          <w:bCs/>
          <w:spacing w:val="-14"/>
          <w:w w:val="80"/>
          <w:kern w:val="48"/>
        </w:rPr>
        <w:t>,</w:t>
      </w:r>
      <w:r w:rsidR="00A36633" w:rsidRPr="00A36633">
        <w:rPr>
          <w:rFonts w:cs="Arial"/>
          <w:bCs/>
          <w:spacing w:val="-14"/>
          <w:w w:val="80"/>
          <w:kern w:val="48"/>
        </w:rPr>
        <w:t xml:space="preserve"> εκταμίευση της 1ης δόσης, ύψους 85 εκ. Ευρώ. Με την έγκριση της τροποποίησης του Σχεδίου και ενσωμάτωσης του νέου Κεφαλαίου </w:t>
      </w:r>
      <w:proofErr w:type="spellStart"/>
      <w:r w:rsidR="00A36633" w:rsidRPr="00A36633">
        <w:rPr>
          <w:rFonts w:cs="Arial"/>
          <w:bCs/>
          <w:spacing w:val="-14"/>
          <w:w w:val="80"/>
          <w:kern w:val="48"/>
        </w:rPr>
        <w:t>REPowerEU</w:t>
      </w:r>
      <w:proofErr w:type="spellEnd"/>
      <w:r w:rsidR="00A36633" w:rsidRPr="00A36633">
        <w:rPr>
          <w:rFonts w:cs="Arial"/>
          <w:bCs/>
          <w:spacing w:val="-14"/>
          <w:w w:val="80"/>
          <w:kern w:val="48"/>
        </w:rPr>
        <w:t xml:space="preserve"> εισπράχθηκε</w:t>
      </w:r>
      <w:r w:rsidR="00640B5E">
        <w:rPr>
          <w:rFonts w:cs="Arial"/>
          <w:bCs/>
          <w:spacing w:val="-14"/>
          <w:w w:val="80"/>
          <w:kern w:val="48"/>
        </w:rPr>
        <w:t>,</w:t>
      </w:r>
      <w:r w:rsidR="00A36633" w:rsidRPr="00A36633">
        <w:rPr>
          <w:rFonts w:cs="Arial"/>
          <w:bCs/>
          <w:spacing w:val="-14"/>
          <w:w w:val="80"/>
          <w:kern w:val="48"/>
        </w:rPr>
        <w:t xml:space="preserve"> στις 25.1.24</w:t>
      </w:r>
      <w:r w:rsidR="00640B5E">
        <w:rPr>
          <w:rFonts w:cs="Arial"/>
          <w:bCs/>
          <w:spacing w:val="-14"/>
          <w:w w:val="80"/>
          <w:kern w:val="48"/>
        </w:rPr>
        <w:t>,</w:t>
      </w:r>
      <w:r w:rsidR="00A36633" w:rsidRPr="00A36633">
        <w:rPr>
          <w:rFonts w:cs="Arial"/>
          <w:bCs/>
          <w:spacing w:val="-14"/>
          <w:w w:val="80"/>
          <w:kern w:val="48"/>
        </w:rPr>
        <w:t xml:space="preserve"> πρόσθετη προκαταβολή</w:t>
      </w:r>
      <w:r w:rsidR="00640B5E">
        <w:rPr>
          <w:rFonts w:cs="Arial"/>
          <w:bCs/>
          <w:spacing w:val="-14"/>
          <w:w w:val="80"/>
          <w:kern w:val="48"/>
        </w:rPr>
        <w:t>,</w:t>
      </w:r>
      <w:r w:rsidR="00A36633" w:rsidRPr="00A36633">
        <w:rPr>
          <w:rFonts w:cs="Arial"/>
          <w:bCs/>
          <w:spacing w:val="-14"/>
          <w:w w:val="80"/>
          <w:kern w:val="48"/>
        </w:rPr>
        <w:t xml:space="preserve"> ύψους 21 εκ. Ευρώ</w:t>
      </w:r>
      <w:r w:rsidR="00640B5E">
        <w:rPr>
          <w:rFonts w:cs="Arial"/>
          <w:bCs/>
          <w:spacing w:val="-14"/>
          <w:w w:val="80"/>
          <w:kern w:val="48"/>
        </w:rPr>
        <w:t>, ενώ</w:t>
      </w:r>
      <w:r w:rsidR="00A36633" w:rsidRPr="00A36633">
        <w:rPr>
          <w:rFonts w:cs="Arial"/>
          <w:bCs/>
          <w:spacing w:val="-14"/>
          <w:w w:val="80"/>
          <w:kern w:val="48"/>
        </w:rPr>
        <w:t xml:space="preserve"> με την ολοκλήρωση των 38 οροσήμων της 2ης και 3ης δόσης και αφού ολοκληρωθούν και οι έλεγχοι της ΕΕ</w:t>
      </w:r>
      <w:r w:rsidR="00640B5E">
        <w:rPr>
          <w:rFonts w:cs="Arial"/>
          <w:bCs/>
          <w:spacing w:val="-14"/>
          <w:w w:val="80"/>
          <w:kern w:val="48"/>
        </w:rPr>
        <w:t>,</w:t>
      </w:r>
      <w:r w:rsidR="00A36633" w:rsidRPr="00A36633">
        <w:rPr>
          <w:rFonts w:cs="Arial"/>
          <w:bCs/>
          <w:spacing w:val="-14"/>
          <w:w w:val="80"/>
          <w:kern w:val="48"/>
        </w:rPr>
        <w:t xml:space="preserve"> αναμένεται η εκταμίευση ποσού</w:t>
      </w:r>
      <w:r w:rsidR="00640B5E">
        <w:rPr>
          <w:rFonts w:cs="Arial"/>
          <w:bCs/>
          <w:spacing w:val="-14"/>
          <w:w w:val="80"/>
          <w:kern w:val="48"/>
        </w:rPr>
        <w:t>,</w:t>
      </w:r>
      <w:r w:rsidR="00A36633" w:rsidRPr="00A36633">
        <w:rPr>
          <w:rFonts w:cs="Arial"/>
          <w:bCs/>
          <w:spacing w:val="-14"/>
          <w:w w:val="80"/>
          <w:kern w:val="48"/>
        </w:rPr>
        <w:t xml:space="preserve"> ύψους 152,2 εκ. Ευρώ</w:t>
      </w:r>
      <w:r w:rsidR="00640B5E">
        <w:rPr>
          <w:rFonts w:cs="Arial"/>
          <w:bCs/>
          <w:spacing w:val="-14"/>
          <w:w w:val="80"/>
          <w:kern w:val="48"/>
        </w:rPr>
        <w:t>,</w:t>
      </w:r>
      <w:r w:rsidR="00A36633" w:rsidRPr="00A36633">
        <w:rPr>
          <w:rFonts w:cs="Arial"/>
          <w:bCs/>
          <w:spacing w:val="-14"/>
          <w:w w:val="80"/>
          <w:kern w:val="48"/>
        </w:rPr>
        <w:t xml:space="preserve"> εντός του πρώτου τετράμηνου 2024.</w:t>
      </w:r>
    </w:p>
    <w:p w:rsidR="00194694" w:rsidRDefault="00194694" w:rsidP="00194694">
      <w:pPr>
        <w:spacing w:after="0" w:line="220" w:lineRule="exact"/>
        <w:ind w:left="284"/>
        <w:jc w:val="both"/>
        <w:outlineLvl w:val="0"/>
        <w:rPr>
          <w:rFonts w:cs="Arial"/>
          <w:bCs/>
          <w:spacing w:val="-14"/>
          <w:w w:val="80"/>
          <w:kern w:val="48"/>
        </w:rPr>
      </w:pPr>
    </w:p>
    <w:p w:rsidR="00194694" w:rsidRDefault="008E36CF" w:rsidP="00194694">
      <w:pPr>
        <w:spacing w:after="0" w:line="220" w:lineRule="exact"/>
        <w:ind w:left="284"/>
        <w:jc w:val="both"/>
        <w:outlineLvl w:val="0"/>
        <w:rPr>
          <w:rFonts w:cs="Arial"/>
          <w:b/>
          <w:bCs/>
          <w:color w:val="0070C0"/>
          <w:spacing w:val="-14"/>
          <w:w w:val="80"/>
          <w:kern w:val="48"/>
        </w:rPr>
      </w:pPr>
      <w:r w:rsidRPr="00B77D7A">
        <w:rPr>
          <w:rFonts w:cs="Arial"/>
          <w:b/>
          <w:bCs/>
          <w:color w:val="0070C0"/>
          <w:spacing w:val="-14"/>
          <w:w w:val="80"/>
          <w:kern w:val="48"/>
        </w:rPr>
        <w:t>6..</w:t>
      </w:r>
      <w:r w:rsidR="007E27FF" w:rsidRPr="00B77D7A">
        <w:rPr>
          <w:rFonts w:cs="Arial"/>
          <w:b/>
          <w:bCs/>
          <w:color w:val="0070C0"/>
          <w:spacing w:val="-14"/>
          <w:w w:val="80"/>
          <w:kern w:val="48"/>
        </w:rPr>
        <w:t>7</w:t>
      </w:r>
      <w:r w:rsidR="00F91A97" w:rsidRPr="00B77D7A">
        <w:rPr>
          <w:rFonts w:cs="Arial"/>
          <w:b/>
          <w:bCs/>
          <w:color w:val="0070C0"/>
          <w:spacing w:val="-14"/>
          <w:w w:val="80"/>
          <w:kern w:val="48"/>
        </w:rPr>
        <w:t xml:space="preserve"> Σχέδιο Κυκλικής Οικονομίας στις Μικρομεσαίες Επιχειρήσεις στην Κύπρο.</w:t>
      </w:r>
    </w:p>
    <w:p w:rsidR="00194694" w:rsidRDefault="00194694" w:rsidP="00194694">
      <w:pPr>
        <w:spacing w:after="0" w:line="220" w:lineRule="exact"/>
        <w:ind w:left="284"/>
        <w:jc w:val="both"/>
        <w:outlineLvl w:val="0"/>
        <w:rPr>
          <w:rFonts w:cs="Arial"/>
          <w:bCs/>
          <w:spacing w:val="-14"/>
          <w:w w:val="80"/>
          <w:kern w:val="48"/>
        </w:rPr>
      </w:pPr>
      <w:r>
        <w:rPr>
          <w:rFonts w:cs="Arial"/>
          <w:b/>
          <w:bCs/>
          <w:color w:val="0070C0"/>
          <w:spacing w:val="-14"/>
          <w:w w:val="80"/>
          <w:kern w:val="48"/>
        </w:rPr>
        <w:t xml:space="preserve">      </w:t>
      </w:r>
      <w:r w:rsidR="00F91A97" w:rsidRPr="00F91A97">
        <w:rPr>
          <w:rFonts w:cs="Arial"/>
          <w:bCs/>
          <w:spacing w:val="-14"/>
          <w:w w:val="80"/>
          <w:kern w:val="48"/>
        </w:rPr>
        <w:t>Το Υπουργικό Συμβούλιο ενέκρινε</w:t>
      </w:r>
      <w:r w:rsidR="00640B5E">
        <w:rPr>
          <w:rFonts w:cs="Arial"/>
          <w:bCs/>
          <w:spacing w:val="-14"/>
          <w:w w:val="80"/>
          <w:kern w:val="48"/>
        </w:rPr>
        <w:t>,</w:t>
      </w:r>
      <w:r w:rsidR="00F91A97" w:rsidRPr="00F91A97">
        <w:rPr>
          <w:rFonts w:cs="Arial"/>
          <w:bCs/>
          <w:spacing w:val="-14"/>
          <w:w w:val="80"/>
          <w:kern w:val="48"/>
        </w:rPr>
        <w:t xml:space="preserve"> 3.4. </w:t>
      </w:r>
      <w:proofErr w:type="spellStart"/>
      <w:r w:rsidR="00F91A97" w:rsidRPr="00F91A97">
        <w:rPr>
          <w:rFonts w:cs="Arial"/>
          <w:bCs/>
          <w:spacing w:val="-14"/>
          <w:w w:val="80"/>
          <w:kern w:val="48"/>
        </w:rPr>
        <w:t>τ.έ</w:t>
      </w:r>
      <w:proofErr w:type="spellEnd"/>
      <w:r w:rsidR="00F91A97" w:rsidRPr="00F91A97">
        <w:rPr>
          <w:rFonts w:cs="Arial"/>
          <w:bCs/>
          <w:spacing w:val="-14"/>
          <w:w w:val="80"/>
          <w:kern w:val="48"/>
        </w:rPr>
        <w:t>., κατόπιν πρότασης του Υπουργού Ενέργειας, Εμπορίου και Βιομηχανίας κ. Γ. Παπαναστασίου το «Σχέδιο Χορηγιών για την Κυκλική Οικονομία στις Μικρομεσαίες Επιχειρήσεις (</w:t>
      </w:r>
      <w:proofErr w:type="spellStart"/>
      <w:r w:rsidR="00F91A97" w:rsidRPr="00F91A97">
        <w:rPr>
          <w:rFonts w:cs="Arial"/>
          <w:bCs/>
          <w:spacing w:val="-14"/>
          <w:w w:val="80"/>
          <w:kern w:val="48"/>
        </w:rPr>
        <w:t>ΜμΕ</w:t>
      </w:r>
      <w:proofErr w:type="spellEnd"/>
      <w:r w:rsidR="00F91A97" w:rsidRPr="00F91A97">
        <w:rPr>
          <w:rFonts w:cs="Arial"/>
          <w:bCs/>
          <w:spacing w:val="-14"/>
          <w:w w:val="80"/>
          <w:kern w:val="48"/>
        </w:rPr>
        <w:t>)».</w:t>
      </w:r>
      <w:r w:rsidR="00E75F1D">
        <w:rPr>
          <w:rFonts w:cs="Arial"/>
          <w:bCs/>
          <w:spacing w:val="-14"/>
          <w:w w:val="80"/>
          <w:kern w:val="48"/>
        </w:rPr>
        <w:t xml:space="preserve"> </w:t>
      </w:r>
      <w:r w:rsidR="00F91A97" w:rsidRPr="00F91A97">
        <w:rPr>
          <w:rFonts w:cs="Arial"/>
          <w:bCs/>
          <w:spacing w:val="-14"/>
          <w:w w:val="80"/>
          <w:kern w:val="48"/>
        </w:rPr>
        <w:t>Το εν λόγω Σχέδιο περιλαμβάνεται στο Σχέδιο Ανάκαμψης και Ανθεκτικότητας της Κύπρου για την περίοδο 2021-2026 και θα χρηματοδοτηθεί από τον Μηχανισμό Ανάκαμψης και Ανθεκτικότητας της Ευρωπαϊκής Ένωσης (ΕΕ). Το συνολικό ποσό, που θα διατεθεί για τις ανάγκες του Σχεδίου, κατά τη διάρκεια της περιόδου εφαρμογής του, ανέρχεται στα 14,4 εκατ. Ευρώ.</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F91A97" w:rsidRPr="00F91A97">
        <w:rPr>
          <w:rFonts w:cs="Arial"/>
          <w:bCs/>
          <w:spacing w:val="-14"/>
          <w:w w:val="80"/>
          <w:kern w:val="48"/>
        </w:rPr>
        <w:t>Το Σχέδιο στοχεύει στη στήριξη των υφιστάμενων και νέων μικρομεσαίων επιχειρήσεων, μέσω της ενίσχυσης νέων επενδύσεων κυκλικής οικονομίας, ώστε να καταστήσουν τα προϊόντα τους, τις παραγωγικές τους διαδικασίες και τις επιχειρηματικές τους πρακτικές πιο φιλικές προς το περιβάλλον. Η χρηματοδοτική ενίσχυση συνίσταται στην παροχή επιχορήγησης για καθορισμένες επιλέξιμες δαπάνες, που αφορούν στη μετάβαση ή έναρξη λειτουργίας μιας επιχείρησης στη βάση ενός κυκλικού επιχειρηματικού μοντέλου.</w:t>
      </w:r>
    </w:p>
    <w:p w:rsidR="00194694" w:rsidRDefault="00194694" w:rsidP="00194694">
      <w:pPr>
        <w:spacing w:after="0" w:line="220" w:lineRule="exact"/>
        <w:ind w:left="284"/>
        <w:jc w:val="both"/>
        <w:outlineLvl w:val="0"/>
        <w:rPr>
          <w:rFonts w:cs="Arial"/>
          <w:spacing w:val="-14"/>
          <w:w w:val="80"/>
          <w:kern w:val="48"/>
        </w:rPr>
      </w:pPr>
      <w:r>
        <w:rPr>
          <w:rFonts w:cs="Arial"/>
          <w:bCs/>
          <w:spacing w:val="-14"/>
          <w:w w:val="80"/>
          <w:kern w:val="48"/>
        </w:rPr>
        <w:t xml:space="preserve">      </w:t>
      </w:r>
      <w:r w:rsidR="00F91A97" w:rsidRPr="00F91A97">
        <w:rPr>
          <w:rFonts w:cs="Arial"/>
          <w:bCs/>
          <w:spacing w:val="-14"/>
          <w:w w:val="80"/>
          <w:kern w:val="48"/>
        </w:rPr>
        <w:t>Σημειώνουμε ότι δραστηριότητες, οι οποίες σχετίζονται με τους τομείς της αλιείας, της υδατοκαλλιέργειας και της πρωτογενούς παραγωγής γεωργικών/κτηνοτροφικών προϊόντων, καθώς και  της παραγωγής οίνου και ξυδιού από οίνο, που περιλαμβάνονται στο μέρος ΙΙ του Παραρτήματος VII του Κανονισμού (ΕΕ) 1308/2013, δεν καλύπτονται από το Σχέδιο. Το μέγιστο συνολικό ποσό επιχορήγησης,  που μπορεί να παραχωρηθεί σε μια μικρομεσαία επιχείρηση ανέρχεται σε 400.000 Ευρώ. Ο Οδηγός του Σχεδίου με όλες τις σχετικές αναλυτικές λεπτομέρειες βρίσκεται στην ιστοσελίδα της Υπηρεσίας Βιομηχανίας και Τεχνολογίας (</w:t>
      </w:r>
      <w:hyperlink r:id="rId16" w:history="1">
        <w:r w:rsidR="00F91A97" w:rsidRPr="00F91A97">
          <w:rPr>
            <w:rStyle w:val="Hyperlink"/>
            <w:rFonts w:cs="Arial"/>
            <w:bCs/>
            <w:color w:val="auto"/>
            <w:spacing w:val="-14"/>
            <w:w w:val="80"/>
            <w:kern w:val="48"/>
          </w:rPr>
          <w:t>https://www.industry.gov.cy/</w:t>
        </w:r>
      </w:hyperlink>
      <w:r w:rsidR="00F91A97" w:rsidRPr="00F91A97">
        <w:rPr>
          <w:rFonts w:cs="Arial"/>
          <w:bCs/>
          <w:spacing w:val="-14"/>
          <w:w w:val="80"/>
          <w:kern w:val="48"/>
        </w:rPr>
        <w:t>) του κ/ Υπουργείου Ενέργειας, Εμπορίου και Βιομηχανίας.</w:t>
      </w:r>
    </w:p>
    <w:p w:rsidR="00194694" w:rsidRDefault="00194694" w:rsidP="00194694">
      <w:pPr>
        <w:spacing w:after="0" w:line="220" w:lineRule="exact"/>
        <w:ind w:left="284"/>
        <w:jc w:val="both"/>
        <w:outlineLvl w:val="0"/>
        <w:rPr>
          <w:rFonts w:cs="Arial"/>
          <w:spacing w:val="-14"/>
          <w:w w:val="80"/>
          <w:kern w:val="48"/>
        </w:rPr>
      </w:pPr>
    </w:p>
    <w:p w:rsidR="00194694" w:rsidRDefault="00A7486B" w:rsidP="00194694">
      <w:pPr>
        <w:spacing w:after="0" w:line="220" w:lineRule="exact"/>
        <w:ind w:left="284"/>
        <w:jc w:val="both"/>
        <w:outlineLvl w:val="0"/>
        <w:rPr>
          <w:rFonts w:cs="Arial"/>
          <w:spacing w:val="-14"/>
          <w:w w:val="80"/>
          <w:kern w:val="48"/>
        </w:rPr>
      </w:pPr>
      <w:r w:rsidRPr="00B77D7A">
        <w:rPr>
          <w:rFonts w:cs="Arial"/>
          <w:b/>
          <w:color w:val="0070C0"/>
          <w:spacing w:val="-14"/>
          <w:w w:val="80"/>
          <w:kern w:val="48"/>
        </w:rPr>
        <w:lastRenderedPageBreak/>
        <w:t>7. ΠΟΠ Προϊόντα</w:t>
      </w:r>
    </w:p>
    <w:p w:rsidR="00194694" w:rsidRDefault="00EC7DC4" w:rsidP="00194694">
      <w:pPr>
        <w:spacing w:after="0" w:line="220" w:lineRule="exact"/>
        <w:ind w:left="284"/>
        <w:jc w:val="both"/>
        <w:outlineLvl w:val="0"/>
        <w:rPr>
          <w:rFonts w:cs="Arial"/>
          <w:spacing w:val="-14"/>
          <w:w w:val="80"/>
          <w:kern w:val="48"/>
        </w:rPr>
      </w:pPr>
      <w:r w:rsidRPr="00B77D7A">
        <w:rPr>
          <w:rFonts w:cs="Arial"/>
          <w:b/>
          <w:bCs/>
          <w:color w:val="0070C0"/>
          <w:spacing w:val="-14"/>
          <w:w w:val="80"/>
          <w:kern w:val="48"/>
        </w:rPr>
        <w:t xml:space="preserve">7.1 </w:t>
      </w:r>
      <w:r w:rsidR="00810B3F" w:rsidRPr="00B77D7A">
        <w:rPr>
          <w:rFonts w:cs="Arial"/>
          <w:b/>
          <w:bCs/>
          <w:color w:val="0070C0"/>
          <w:spacing w:val="-14"/>
          <w:w w:val="80"/>
          <w:kern w:val="48"/>
        </w:rPr>
        <w:t xml:space="preserve">Απόφαση Γενικού Δικαστηρίου της ΕΕ για το </w:t>
      </w:r>
      <w:proofErr w:type="spellStart"/>
      <w:r w:rsidR="00810B3F" w:rsidRPr="00B77D7A">
        <w:rPr>
          <w:rFonts w:cs="Arial"/>
          <w:b/>
          <w:bCs/>
          <w:color w:val="0070C0"/>
          <w:spacing w:val="-14"/>
          <w:w w:val="80"/>
          <w:kern w:val="48"/>
        </w:rPr>
        <w:t>χαλλούμι</w:t>
      </w:r>
      <w:proofErr w:type="spellEnd"/>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810B3F" w:rsidRPr="00A36633">
        <w:rPr>
          <w:rFonts w:cs="Arial"/>
          <w:bCs/>
          <w:spacing w:val="-14"/>
          <w:w w:val="80"/>
          <w:kern w:val="48"/>
        </w:rPr>
        <w:t xml:space="preserve">Η πρόσφατη απόφαση του Γενικού Δικαστηρίου της ΕΕ για το </w:t>
      </w:r>
      <w:proofErr w:type="spellStart"/>
      <w:r w:rsidR="00810B3F" w:rsidRPr="00A36633">
        <w:rPr>
          <w:rFonts w:cs="Arial"/>
          <w:bCs/>
          <w:spacing w:val="-14"/>
          <w:w w:val="80"/>
          <w:kern w:val="48"/>
        </w:rPr>
        <w:t>χαλλούμι</w:t>
      </w:r>
      <w:proofErr w:type="spellEnd"/>
      <w:r w:rsidR="00810B3F" w:rsidRPr="00A36633">
        <w:rPr>
          <w:rFonts w:cs="Arial"/>
          <w:bCs/>
          <w:spacing w:val="-14"/>
          <w:w w:val="80"/>
          <w:kern w:val="48"/>
        </w:rPr>
        <w:t xml:space="preserve"> (Ανακοινωθέν Τύπου αριθ. 31/24 από 21.2.2024) κρίνεται ως πολύ σημαντική σύμφωνα με την κ/ Νομικ</w:t>
      </w:r>
      <w:r w:rsidR="008E4024">
        <w:rPr>
          <w:rFonts w:cs="Arial"/>
          <w:bCs/>
          <w:spacing w:val="-14"/>
          <w:w w:val="80"/>
          <w:kern w:val="48"/>
        </w:rPr>
        <w:t>ή Υπηρεσία. Όπως σημειώνει η κ/</w:t>
      </w:r>
      <w:r w:rsidR="00810B3F" w:rsidRPr="00A36633">
        <w:rPr>
          <w:rFonts w:cs="Arial"/>
          <w:bCs/>
          <w:spacing w:val="-14"/>
          <w:w w:val="80"/>
          <w:kern w:val="48"/>
        </w:rPr>
        <w:t>Νομική Υπηρεσία</w:t>
      </w:r>
      <w:r w:rsidR="008E4024">
        <w:rPr>
          <w:rFonts w:cs="Arial"/>
          <w:bCs/>
          <w:spacing w:val="-14"/>
          <w:w w:val="80"/>
          <w:kern w:val="48"/>
        </w:rPr>
        <w:t>,</w:t>
      </w:r>
      <w:r w:rsidR="00810B3F" w:rsidRPr="00A36633">
        <w:rPr>
          <w:rFonts w:cs="Arial"/>
          <w:bCs/>
          <w:spacing w:val="-14"/>
          <w:w w:val="80"/>
          <w:kern w:val="48"/>
        </w:rPr>
        <w:t xml:space="preserve"> το Γενικό Δικαστήριο της Ευρωπαϊκής Ένωσης επιβεβαίωσε την κατοχύρωση του </w:t>
      </w:r>
      <w:proofErr w:type="spellStart"/>
      <w:r w:rsidR="00810B3F" w:rsidRPr="00A36633">
        <w:rPr>
          <w:rFonts w:cs="Arial"/>
          <w:bCs/>
          <w:spacing w:val="-14"/>
          <w:w w:val="80"/>
          <w:kern w:val="48"/>
        </w:rPr>
        <w:t>Χαλλουμιού</w:t>
      </w:r>
      <w:proofErr w:type="spellEnd"/>
      <w:r w:rsidR="008E4024">
        <w:rPr>
          <w:rFonts w:cs="Arial"/>
          <w:bCs/>
          <w:spacing w:val="-14"/>
          <w:w w:val="80"/>
          <w:kern w:val="48"/>
        </w:rPr>
        <w:t>,</w:t>
      </w:r>
      <w:r w:rsidR="00810B3F" w:rsidRPr="00A36633">
        <w:rPr>
          <w:rFonts w:cs="Arial"/>
          <w:bCs/>
          <w:spacing w:val="-14"/>
          <w:w w:val="80"/>
          <w:kern w:val="48"/>
        </w:rPr>
        <w:t xml:space="preserve"> ως προϊόντος Προστατευόμενης Ονομασίας Προέλευσης (ΠΟΠ), απορρίπτοντας στο σύνολό της την προσφυγή διαφόρων εταιρειών</w:t>
      </w:r>
      <w:r w:rsidR="008E4024">
        <w:rPr>
          <w:rFonts w:cs="Arial"/>
          <w:bCs/>
          <w:spacing w:val="-14"/>
          <w:w w:val="80"/>
          <w:kern w:val="48"/>
        </w:rPr>
        <w:t>,</w:t>
      </w:r>
      <w:r w:rsidR="00810B3F" w:rsidRPr="00A36633">
        <w:rPr>
          <w:rFonts w:cs="Arial"/>
          <w:bCs/>
          <w:spacing w:val="-14"/>
          <w:w w:val="80"/>
          <w:kern w:val="48"/>
        </w:rPr>
        <w:t xml:space="preserve"> εναντίον της Ευρωπαϊκής Επιτροπής, με την οποία ζητούσαν να ακυρωθεί ο Εκτελεστικός Κανονισμός (ΕΕ) 2021/591 που κατοχυρώνει το «</w:t>
      </w:r>
      <w:proofErr w:type="spellStart"/>
      <w:r w:rsidR="00810B3F" w:rsidRPr="00A36633">
        <w:rPr>
          <w:rFonts w:cs="Arial"/>
          <w:bCs/>
          <w:spacing w:val="-14"/>
          <w:w w:val="80"/>
          <w:kern w:val="48"/>
        </w:rPr>
        <w:t>Χαλλούμι</w:t>
      </w:r>
      <w:proofErr w:type="spellEnd"/>
      <w:r w:rsidR="00810B3F" w:rsidRPr="00A36633">
        <w:rPr>
          <w:rFonts w:cs="Arial"/>
          <w:bCs/>
          <w:spacing w:val="-14"/>
          <w:w w:val="80"/>
          <w:kern w:val="48"/>
        </w:rPr>
        <w:t>» (</w:t>
      </w:r>
      <w:proofErr w:type="spellStart"/>
      <w:r w:rsidR="00810B3F" w:rsidRPr="00A36633">
        <w:rPr>
          <w:rFonts w:cs="Arial"/>
          <w:bCs/>
          <w:spacing w:val="-14"/>
          <w:w w:val="80"/>
          <w:kern w:val="48"/>
        </w:rPr>
        <w:t>Halloumi</w:t>
      </w:r>
      <w:proofErr w:type="spellEnd"/>
      <w:r w:rsidR="00810B3F" w:rsidRPr="00A36633">
        <w:rPr>
          <w:rFonts w:cs="Arial"/>
          <w:bCs/>
          <w:spacing w:val="-14"/>
          <w:w w:val="80"/>
          <w:kern w:val="48"/>
        </w:rPr>
        <w:t>) /«</w:t>
      </w:r>
      <w:proofErr w:type="spellStart"/>
      <w:r w:rsidR="00810B3F" w:rsidRPr="00A36633">
        <w:rPr>
          <w:rFonts w:cs="Arial"/>
          <w:bCs/>
          <w:spacing w:val="-14"/>
          <w:w w:val="80"/>
          <w:kern w:val="48"/>
        </w:rPr>
        <w:t>Hellim</w:t>
      </w:r>
      <w:proofErr w:type="spellEnd"/>
      <w:r w:rsidR="00810B3F" w:rsidRPr="00A36633">
        <w:rPr>
          <w:rFonts w:cs="Arial"/>
          <w:bCs/>
          <w:spacing w:val="-14"/>
          <w:w w:val="80"/>
          <w:kern w:val="48"/>
        </w:rPr>
        <w:t>»</w:t>
      </w:r>
      <w:r w:rsidR="008E4024">
        <w:rPr>
          <w:rFonts w:cs="Arial"/>
          <w:bCs/>
          <w:spacing w:val="-14"/>
          <w:w w:val="80"/>
          <w:kern w:val="48"/>
        </w:rPr>
        <w:t>,</w:t>
      </w:r>
      <w:r w:rsidR="00810B3F" w:rsidRPr="00A36633">
        <w:rPr>
          <w:rFonts w:cs="Arial"/>
          <w:bCs/>
          <w:spacing w:val="-14"/>
          <w:w w:val="80"/>
          <w:kern w:val="48"/>
        </w:rPr>
        <w:t xml:space="preserve"> ως ΠΟΠ (Υπόθεση Τ-361/21 </w:t>
      </w:r>
      <w:proofErr w:type="spellStart"/>
      <w:r w:rsidR="00810B3F" w:rsidRPr="00A36633">
        <w:rPr>
          <w:rFonts w:cs="Arial"/>
          <w:bCs/>
          <w:spacing w:val="-14"/>
          <w:w w:val="80"/>
          <w:kern w:val="48"/>
        </w:rPr>
        <w:t>Papouis</w:t>
      </w:r>
      <w:proofErr w:type="spellEnd"/>
      <w:r w:rsidR="00810B3F" w:rsidRPr="00A36633">
        <w:rPr>
          <w:rFonts w:cs="Arial"/>
          <w:bCs/>
          <w:spacing w:val="-14"/>
          <w:w w:val="80"/>
          <w:kern w:val="48"/>
        </w:rPr>
        <w:t xml:space="preserve"> </w:t>
      </w:r>
      <w:proofErr w:type="spellStart"/>
      <w:r w:rsidR="00810B3F" w:rsidRPr="00A36633">
        <w:rPr>
          <w:rFonts w:cs="Arial"/>
          <w:bCs/>
          <w:spacing w:val="-14"/>
          <w:w w:val="80"/>
          <w:kern w:val="48"/>
        </w:rPr>
        <w:t>Dairies</w:t>
      </w:r>
      <w:proofErr w:type="spellEnd"/>
      <w:r w:rsidR="00810B3F" w:rsidRPr="00A36633">
        <w:rPr>
          <w:rFonts w:cs="Arial"/>
          <w:bCs/>
          <w:spacing w:val="-14"/>
          <w:w w:val="80"/>
          <w:kern w:val="48"/>
        </w:rPr>
        <w:t xml:space="preserve"> κ.λπ. κατά Ευρωπαϊκής Επιτροπής).</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810B3F" w:rsidRPr="00A36633">
        <w:rPr>
          <w:rFonts w:cs="Arial"/>
          <w:bCs/>
          <w:spacing w:val="-14"/>
          <w:w w:val="80"/>
          <w:kern w:val="48"/>
        </w:rPr>
        <w:t xml:space="preserve"> Συγκεκριμένα</w:t>
      </w:r>
      <w:r w:rsidR="008E4024">
        <w:rPr>
          <w:rFonts w:cs="Arial"/>
          <w:bCs/>
          <w:spacing w:val="-14"/>
          <w:w w:val="80"/>
          <w:kern w:val="48"/>
        </w:rPr>
        <w:t>,</w:t>
      </w:r>
      <w:r w:rsidR="00810B3F" w:rsidRPr="00A36633">
        <w:rPr>
          <w:rFonts w:cs="Arial"/>
          <w:bCs/>
          <w:spacing w:val="-14"/>
          <w:w w:val="80"/>
          <w:kern w:val="48"/>
        </w:rPr>
        <w:t xml:space="preserve"> η ανακοίνωση της Νομικής Υπηρεσίας αναφέρει</w:t>
      </w:r>
      <w:r w:rsidR="008E4024">
        <w:rPr>
          <w:rFonts w:cs="Arial"/>
          <w:bCs/>
          <w:spacing w:val="-14"/>
          <w:w w:val="80"/>
          <w:kern w:val="48"/>
        </w:rPr>
        <w:t xml:space="preserve">, ότι </w:t>
      </w:r>
      <w:r w:rsidR="00810B3F" w:rsidRPr="00A36633">
        <w:rPr>
          <w:rFonts w:cs="Arial"/>
          <w:bCs/>
          <w:spacing w:val="-14"/>
          <w:w w:val="80"/>
          <w:kern w:val="48"/>
        </w:rPr>
        <w:t xml:space="preserve">"η απόφαση του Γενικού Δικαστηρίου της ΕΕ κρίνεται ως πολύ σημαντική καθώς το Γενικό Δικαστήριο έκρινε, μεταξύ άλλων, ότι η προδιαγραφή «με ή χωρίς αγελαδινό γάλα» στη διατύπωση του προτύπου του 1985, στο οποίο ο Εκτελεστικός Κανονισμός (ΕΕ) 2021/591 αναφέρεται, δείχνει ότι το αγελαδινό γάλα θεωρείται από την αρμόδια Αρχή, που υιοθέτησε το εν λόγω πρότυπο ως συστατικό καθαρά προαιρετικό και ως δυνητικό συμπλήρωμα του πρόβειου ή κατσικίσιου γάλακτος. Υπό το πρίσμα αυτό, η επιλογή που έγινε στην αίτηση καταχώρισης να περιοριστεί στο 50% η αναλογία του αγελαδινού γάλακτος, που χρησιμοποιείται στο μείγμα για την παρασκευή του </w:t>
      </w:r>
      <w:proofErr w:type="spellStart"/>
      <w:r w:rsidR="00810B3F" w:rsidRPr="00A36633">
        <w:rPr>
          <w:rFonts w:cs="Arial"/>
          <w:bCs/>
          <w:spacing w:val="-14"/>
          <w:w w:val="80"/>
          <w:kern w:val="48"/>
        </w:rPr>
        <w:t>Χαλλουμιού</w:t>
      </w:r>
      <w:proofErr w:type="spellEnd"/>
      <w:r w:rsidR="00810B3F" w:rsidRPr="00A36633">
        <w:rPr>
          <w:rFonts w:cs="Arial"/>
          <w:bCs/>
          <w:spacing w:val="-14"/>
          <w:w w:val="80"/>
          <w:kern w:val="48"/>
        </w:rPr>
        <w:t xml:space="preserve"> ήταν εύλογη".</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810B3F" w:rsidRPr="00A36633">
        <w:rPr>
          <w:rFonts w:cs="Arial"/>
          <w:bCs/>
          <w:spacing w:val="-14"/>
          <w:w w:val="80"/>
          <w:kern w:val="48"/>
        </w:rPr>
        <w:t>Ικανοποίηση εξέφρασε το κ/ Υπουργείο Γεωργίας από την απόρριψη της προσφυγής για το «</w:t>
      </w:r>
      <w:proofErr w:type="spellStart"/>
      <w:r w:rsidR="00810B3F" w:rsidRPr="00A36633">
        <w:rPr>
          <w:rFonts w:cs="Arial"/>
          <w:bCs/>
          <w:spacing w:val="-14"/>
          <w:w w:val="80"/>
          <w:kern w:val="48"/>
        </w:rPr>
        <w:t>χαλλούμι</w:t>
      </w:r>
      <w:proofErr w:type="spellEnd"/>
      <w:r w:rsidR="00810B3F" w:rsidRPr="00A36633">
        <w:rPr>
          <w:rFonts w:cs="Arial"/>
          <w:bCs/>
          <w:spacing w:val="-14"/>
          <w:w w:val="80"/>
          <w:kern w:val="48"/>
        </w:rPr>
        <w:t>». Το ιστορικό υπόβαθρο της υπόθεσης ξεκινά</w:t>
      </w:r>
      <w:r w:rsidR="008E4024">
        <w:rPr>
          <w:rFonts w:cs="Arial"/>
          <w:bCs/>
          <w:spacing w:val="-14"/>
          <w:w w:val="80"/>
          <w:kern w:val="48"/>
        </w:rPr>
        <w:t>,</w:t>
      </w:r>
      <w:r w:rsidR="00810B3F" w:rsidRPr="00A36633">
        <w:rPr>
          <w:rFonts w:cs="Arial"/>
          <w:bCs/>
          <w:spacing w:val="-14"/>
          <w:w w:val="80"/>
          <w:kern w:val="48"/>
        </w:rPr>
        <w:t xml:space="preserve"> στις 12.4.21, όταν</w:t>
      </w:r>
      <w:r w:rsidR="008E4024">
        <w:rPr>
          <w:rFonts w:cs="Arial"/>
          <w:bCs/>
          <w:spacing w:val="-14"/>
          <w:w w:val="80"/>
          <w:kern w:val="48"/>
        </w:rPr>
        <w:t>,</w:t>
      </w:r>
      <w:r w:rsidR="00810B3F" w:rsidRPr="00A36633">
        <w:rPr>
          <w:rFonts w:cs="Arial"/>
          <w:bCs/>
          <w:spacing w:val="-14"/>
          <w:w w:val="80"/>
          <w:kern w:val="48"/>
        </w:rPr>
        <w:t xml:space="preserve"> μετά από καταχώριση σχετικής αίτησης από την Κυπριακή Δημοκρατία, η ΕΕ καταχώρισε την ονομασία «</w:t>
      </w:r>
      <w:proofErr w:type="spellStart"/>
      <w:r w:rsidR="00810B3F" w:rsidRPr="00A36633">
        <w:rPr>
          <w:rFonts w:cs="Arial"/>
          <w:bCs/>
          <w:spacing w:val="-14"/>
          <w:w w:val="80"/>
          <w:kern w:val="48"/>
        </w:rPr>
        <w:t>Χαλλούμι</w:t>
      </w:r>
      <w:proofErr w:type="spellEnd"/>
      <w:r w:rsidR="00810B3F" w:rsidRPr="00A36633">
        <w:rPr>
          <w:rFonts w:cs="Arial"/>
          <w:bCs/>
          <w:spacing w:val="-14"/>
          <w:w w:val="80"/>
          <w:kern w:val="48"/>
        </w:rPr>
        <w:t>» (</w:t>
      </w:r>
      <w:proofErr w:type="spellStart"/>
      <w:r w:rsidR="00810B3F" w:rsidRPr="00A36633">
        <w:rPr>
          <w:rFonts w:cs="Arial"/>
          <w:bCs/>
          <w:spacing w:val="-14"/>
          <w:w w:val="80"/>
          <w:kern w:val="48"/>
        </w:rPr>
        <w:t>Halloumi</w:t>
      </w:r>
      <w:proofErr w:type="spellEnd"/>
      <w:r w:rsidR="00810B3F" w:rsidRPr="00A36633">
        <w:rPr>
          <w:rFonts w:cs="Arial"/>
          <w:bCs/>
          <w:spacing w:val="-14"/>
          <w:w w:val="80"/>
          <w:kern w:val="48"/>
        </w:rPr>
        <w:t>) /«</w:t>
      </w:r>
      <w:proofErr w:type="spellStart"/>
      <w:r w:rsidR="00810B3F" w:rsidRPr="00A36633">
        <w:rPr>
          <w:rFonts w:cs="Arial"/>
          <w:bCs/>
          <w:spacing w:val="-14"/>
          <w:w w:val="80"/>
          <w:kern w:val="48"/>
        </w:rPr>
        <w:t>Hellim</w:t>
      </w:r>
      <w:proofErr w:type="spellEnd"/>
      <w:r w:rsidR="00810B3F" w:rsidRPr="00A36633">
        <w:rPr>
          <w:rFonts w:cs="Arial"/>
          <w:bCs/>
          <w:spacing w:val="-14"/>
          <w:w w:val="80"/>
          <w:kern w:val="48"/>
        </w:rPr>
        <w:t>» ως προϊόν προστατευόμενης ονομασίας προέλευσης (ΠΟΠ), εκδίδοντας τον Εκτελεστικό Κανονισμό (ΕΕ) 2021/591, ο οποίος αναφέρεται, μεταξύ άλλων, στις προδιαγραφές παρασκευής του εν λόγω τυριού. Στις 22.5.21</w:t>
      </w:r>
      <w:r w:rsidR="008E4024">
        <w:rPr>
          <w:rFonts w:cs="Arial"/>
          <w:bCs/>
          <w:spacing w:val="-14"/>
          <w:w w:val="80"/>
          <w:kern w:val="48"/>
        </w:rPr>
        <w:t>,</w:t>
      </w:r>
      <w:r w:rsidR="00810B3F" w:rsidRPr="00A36633">
        <w:rPr>
          <w:rFonts w:cs="Arial"/>
          <w:bCs/>
          <w:spacing w:val="-14"/>
          <w:w w:val="80"/>
          <w:kern w:val="48"/>
        </w:rPr>
        <w:t xml:space="preserve"> ο Σύνδεσμος Τυροκόμων και άλλοι καταχώρησαν στο Γενικό Δικαστήριο της ΕΈ προσφυγή</w:t>
      </w:r>
      <w:r w:rsidR="008E4024">
        <w:rPr>
          <w:rFonts w:cs="Arial"/>
          <w:bCs/>
          <w:spacing w:val="-14"/>
          <w:w w:val="80"/>
          <w:kern w:val="48"/>
        </w:rPr>
        <w:t>,</w:t>
      </w:r>
      <w:r w:rsidR="00810B3F" w:rsidRPr="00A36633">
        <w:rPr>
          <w:rFonts w:cs="Arial"/>
          <w:bCs/>
          <w:spacing w:val="-14"/>
          <w:w w:val="80"/>
          <w:kern w:val="48"/>
        </w:rPr>
        <w:t xml:space="preserve"> κατά της Ευρωπαϊκής Επιτροπής</w:t>
      </w:r>
      <w:r w:rsidR="008E4024">
        <w:rPr>
          <w:rFonts w:cs="Arial"/>
          <w:bCs/>
          <w:spacing w:val="-14"/>
          <w:w w:val="80"/>
          <w:kern w:val="48"/>
        </w:rPr>
        <w:t>,</w:t>
      </w:r>
      <w:r w:rsidR="00810B3F" w:rsidRPr="00A36633">
        <w:rPr>
          <w:rFonts w:cs="Arial"/>
          <w:bCs/>
          <w:spacing w:val="-14"/>
          <w:w w:val="80"/>
          <w:kern w:val="48"/>
        </w:rPr>
        <w:t xml:space="preserve"> για ακύρωση του εν λόγω Εκτελεστικού Κανονισμού, προσβάλλοντας τη νομιμότητά του και ζητώντας την ακύρωσή του</w:t>
      </w:r>
      <w:r w:rsidR="008E4024">
        <w:rPr>
          <w:rFonts w:cs="Arial"/>
          <w:bCs/>
          <w:spacing w:val="-14"/>
          <w:w w:val="80"/>
          <w:kern w:val="48"/>
        </w:rPr>
        <w:t>, ισχυριζόμενοι ότι η Ευρωπαϊκή Επιτροπή</w:t>
      </w:r>
      <w:r w:rsidR="00810B3F" w:rsidRPr="00A36633">
        <w:rPr>
          <w:rFonts w:cs="Arial"/>
          <w:bCs/>
          <w:spacing w:val="-14"/>
          <w:w w:val="80"/>
          <w:kern w:val="48"/>
        </w:rPr>
        <w:t xml:space="preserve"> υπέπεσε σε πρόδηλα σφάλματα κατά την εξέταση της αίτησης για κατοχύρωση του </w:t>
      </w:r>
      <w:proofErr w:type="spellStart"/>
      <w:r w:rsidR="00810B3F" w:rsidRPr="00A36633">
        <w:rPr>
          <w:rFonts w:cs="Arial"/>
          <w:bCs/>
          <w:spacing w:val="-14"/>
          <w:w w:val="80"/>
          <w:kern w:val="48"/>
        </w:rPr>
        <w:t>Χαλλουμιού</w:t>
      </w:r>
      <w:proofErr w:type="spellEnd"/>
      <w:r w:rsidR="00810B3F" w:rsidRPr="00A36633">
        <w:rPr>
          <w:rFonts w:cs="Arial"/>
          <w:bCs/>
          <w:spacing w:val="-14"/>
          <w:w w:val="80"/>
          <w:kern w:val="48"/>
        </w:rPr>
        <w:t xml:space="preserve"> ως ΠΟΠ. Ακολούθως</w:t>
      </w:r>
      <w:r w:rsidR="008E4024">
        <w:rPr>
          <w:rFonts w:cs="Arial"/>
          <w:bCs/>
          <w:spacing w:val="-14"/>
          <w:w w:val="80"/>
          <w:kern w:val="48"/>
        </w:rPr>
        <w:t>,</w:t>
      </w:r>
      <w:r w:rsidR="00810B3F" w:rsidRPr="00A36633">
        <w:rPr>
          <w:rFonts w:cs="Arial"/>
          <w:bCs/>
          <w:spacing w:val="-14"/>
          <w:w w:val="80"/>
          <w:kern w:val="48"/>
        </w:rPr>
        <w:t xml:space="preserve"> η Νομική Υπηρεσία της Δημοκρατίας, εκπροσωπώντας την Κυπριακή Δημοκρατία, παρενέβη στην υπόθεση, στηρίζοντας τη θέση της Ευρωπαϊκής Επιτροπής. Στις 6.6.23</w:t>
      </w:r>
      <w:r w:rsidR="008E4024">
        <w:rPr>
          <w:rFonts w:cs="Arial"/>
          <w:bCs/>
          <w:spacing w:val="-14"/>
          <w:w w:val="80"/>
          <w:kern w:val="48"/>
        </w:rPr>
        <w:t>,</w:t>
      </w:r>
      <w:r w:rsidR="00810B3F" w:rsidRPr="00A36633">
        <w:rPr>
          <w:rFonts w:cs="Arial"/>
          <w:bCs/>
          <w:spacing w:val="-14"/>
          <w:w w:val="80"/>
          <w:kern w:val="48"/>
        </w:rPr>
        <w:t xml:space="preserve"> πραγματοποιήθηκε η ακρόαση της υπόθεσης</w:t>
      </w:r>
      <w:r w:rsidR="008E4024">
        <w:rPr>
          <w:rFonts w:cs="Arial"/>
          <w:bCs/>
          <w:spacing w:val="-14"/>
          <w:w w:val="80"/>
          <w:kern w:val="48"/>
        </w:rPr>
        <w:t>,</w:t>
      </w:r>
      <w:r w:rsidR="00810B3F" w:rsidRPr="00A36633">
        <w:rPr>
          <w:rFonts w:cs="Arial"/>
          <w:bCs/>
          <w:spacing w:val="-14"/>
          <w:w w:val="80"/>
          <w:kern w:val="48"/>
        </w:rPr>
        <w:t xml:space="preserve"> ενώπιον του Γενικού Δικαστηρίου της ΕΕ. Το Γενικό Δικαστήριο εξέτασε ενδελεχώς τα επιχειρήματα των προσφευγόντων περί ύπαρξης πρόδηλων σφαλμάτων εκ μέρους της Ευρωπαϊκής Επιτροπής</w:t>
      </w:r>
      <w:r w:rsidR="008E4024">
        <w:rPr>
          <w:rFonts w:cs="Arial"/>
          <w:bCs/>
          <w:spacing w:val="-14"/>
          <w:w w:val="80"/>
          <w:kern w:val="48"/>
        </w:rPr>
        <w:t>,</w:t>
      </w:r>
      <w:r w:rsidR="00810B3F" w:rsidRPr="00A36633">
        <w:rPr>
          <w:rFonts w:cs="Arial"/>
          <w:bCs/>
          <w:spacing w:val="-14"/>
          <w:w w:val="80"/>
          <w:kern w:val="48"/>
        </w:rPr>
        <w:t xml:space="preserve"> κατά την εξέταση της αίτησης καταχώρισης για το </w:t>
      </w:r>
      <w:proofErr w:type="spellStart"/>
      <w:r w:rsidR="00810B3F" w:rsidRPr="00A36633">
        <w:rPr>
          <w:rFonts w:cs="Arial"/>
          <w:bCs/>
          <w:spacing w:val="-14"/>
          <w:w w:val="80"/>
          <w:kern w:val="48"/>
        </w:rPr>
        <w:t>Χαλλούμι</w:t>
      </w:r>
      <w:proofErr w:type="spellEnd"/>
      <w:r w:rsidR="00810B3F" w:rsidRPr="00A36633">
        <w:rPr>
          <w:rFonts w:cs="Arial"/>
          <w:bCs/>
          <w:spacing w:val="-14"/>
          <w:w w:val="80"/>
          <w:kern w:val="48"/>
        </w:rPr>
        <w:t>/</w:t>
      </w:r>
      <w:proofErr w:type="spellStart"/>
      <w:r w:rsidR="00810B3F" w:rsidRPr="00A36633">
        <w:rPr>
          <w:rFonts w:cs="Arial"/>
          <w:bCs/>
          <w:spacing w:val="-14"/>
          <w:w w:val="80"/>
          <w:kern w:val="48"/>
        </w:rPr>
        <w:t>Hellim</w:t>
      </w:r>
      <w:proofErr w:type="spellEnd"/>
      <w:r w:rsidR="00810B3F" w:rsidRPr="00A36633">
        <w:rPr>
          <w:rFonts w:cs="Arial"/>
          <w:bCs/>
          <w:spacing w:val="-14"/>
          <w:w w:val="80"/>
          <w:kern w:val="48"/>
        </w:rPr>
        <w:t xml:space="preserve"> και την έκδοση του εν λόγω Εκτελεστικού Κανονισμού</w:t>
      </w:r>
      <w:r w:rsidR="008E4024">
        <w:rPr>
          <w:rFonts w:cs="Arial"/>
          <w:bCs/>
          <w:spacing w:val="-14"/>
          <w:w w:val="80"/>
          <w:kern w:val="48"/>
        </w:rPr>
        <w:t>, αποδεχόμενο</w:t>
      </w:r>
      <w:r w:rsidR="00810B3F" w:rsidRPr="00A36633">
        <w:rPr>
          <w:rFonts w:cs="Arial"/>
          <w:bCs/>
          <w:spacing w:val="-14"/>
          <w:w w:val="80"/>
          <w:kern w:val="48"/>
        </w:rPr>
        <w:t xml:space="preserve"> τη θέση της Κυπριακής Δημοκρατίας και της Ευρωπαϊκής Επιτροπής ότι οι προσφεύγοντες δεν απέδειξαν την ύπαρξη προδήλου σφάλματος από την πλευρά της Επιτροπής.</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8E4024">
        <w:rPr>
          <w:rFonts w:cs="Arial"/>
          <w:bCs/>
          <w:spacing w:val="-14"/>
          <w:w w:val="80"/>
          <w:kern w:val="48"/>
        </w:rPr>
        <w:t>Η θέση της κ/</w:t>
      </w:r>
      <w:r w:rsidR="00810B3F" w:rsidRPr="00A36633">
        <w:rPr>
          <w:rFonts w:cs="Arial"/>
          <w:bCs/>
          <w:spacing w:val="-14"/>
          <w:w w:val="80"/>
          <w:kern w:val="48"/>
        </w:rPr>
        <w:t>Δημοκρατίας ήταν ότι ο ρόλος της Ευρωπαϊκής Επιτροπής συνίσταται σε εποπτικό έλεγχο των διαδικασιών, που εφαρμόζονται από τις εθνικές Αρχές, με τα τεχνικά ζητήματα της επιστημονικής τεκμηρίωσης και των οργανοληπτικών και αναλυτικών χαρακτηριστικών του προϊόντος να εξετάζονται</w:t>
      </w:r>
      <w:r w:rsidR="008E4024">
        <w:rPr>
          <w:rFonts w:cs="Arial"/>
          <w:bCs/>
          <w:spacing w:val="-14"/>
          <w:w w:val="80"/>
          <w:kern w:val="48"/>
        </w:rPr>
        <w:t>,</w:t>
      </w:r>
      <w:r w:rsidR="00810B3F" w:rsidRPr="00A36633">
        <w:rPr>
          <w:rFonts w:cs="Arial"/>
          <w:bCs/>
          <w:spacing w:val="-14"/>
          <w:w w:val="80"/>
          <w:kern w:val="48"/>
        </w:rPr>
        <w:t xml:space="preserve"> σε τεχνικό επίπεδο</w:t>
      </w:r>
      <w:r w:rsidR="008E4024">
        <w:rPr>
          <w:rFonts w:cs="Arial"/>
          <w:bCs/>
          <w:spacing w:val="-14"/>
          <w:w w:val="80"/>
          <w:kern w:val="48"/>
        </w:rPr>
        <w:t>,</w:t>
      </w:r>
      <w:r w:rsidR="00810B3F" w:rsidRPr="00A36633">
        <w:rPr>
          <w:rFonts w:cs="Arial"/>
          <w:bCs/>
          <w:spacing w:val="-14"/>
          <w:w w:val="80"/>
          <w:kern w:val="48"/>
        </w:rPr>
        <w:t xml:space="preserve"> από τις εθνικές Αρχές, οι οποίες έχουν τη γνώση, την εμπειρία και την εγγύτητα</w:t>
      </w:r>
      <w:r w:rsidR="008E4024">
        <w:rPr>
          <w:rFonts w:cs="Arial"/>
          <w:bCs/>
          <w:spacing w:val="-14"/>
          <w:w w:val="80"/>
          <w:kern w:val="48"/>
        </w:rPr>
        <w:t>,</w:t>
      </w:r>
      <w:r w:rsidR="00810B3F" w:rsidRPr="00A36633">
        <w:rPr>
          <w:rFonts w:cs="Arial"/>
          <w:bCs/>
          <w:spacing w:val="-14"/>
          <w:w w:val="80"/>
          <w:kern w:val="48"/>
        </w:rPr>
        <w:t xml:space="preserve"> ως προς τη ζώνη παραγωγής και την παραγωγική διαδικασία.</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810B3F" w:rsidRPr="00A36633">
        <w:rPr>
          <w:rFonts w:cs="Arial"/>
          <w:bCs/>
          <w:spacing w:val="-14"/>
          <w:w w:val="80"/>
          <w:kern w:val="48"/>
        </w:rPr>
        <w:t xml:space="preserve">Το Γενικό Δικαστήριο στην απόφασή του απεδέχθη τη θέση της Ευρωπαϊκής Επιτροπής ότι τα επιστημονικά στοιχεία, που υπέβαλε η Κυπριακή Δημοκρατία αιτιολογούσαν την εγγραφή του </w:t>
      </w:r>
      <w:proofErr w:type="spellStart"/>
      <w:r w:rsidR="00810B3F" w:rsidRPr="00A36633">
        <w:rPr>
          <w:rFonts w:cs="Arial"/>
          <w:bCs/>
          <w:spacing w:val="-14"/>
          <w:w w:val="80"/>
          <w:kern w:val="48"/>
        </w:rPr>
        <w:t>Χαλλουμιού</w:t>
      </w:r>
      <w:proofErr w:type="spellEnd"/>
      <w:r w:rsidR="00810B3F" w:rsidRPr="00A36633">
        <w:rPr>
          <w:rFonts w:cs="Arial"/>
          <w:bCs/>
          <w:spacing w:val="-14"/>
          <w:w w:val="80"/>
          <w:kern w:val="48"/>
        </w:rPr>
        <w:t xml:space="preserve"> στο Μητρώο ΠΟΠ και ότι η αίτηση δεν έπασχε από πρόδηλα σφάλματα.</w:t>
      </w:r>
    </w:p>
    <w:p w:rsidR="00194694" w:rsidRDefault="00194694" w:rsidP="00194694">
      <w:pPr>
        <w:spacing w:after="0" w:line="220" w:lineRule="exact"/>
        <w:ind w:left="284"/>
        <w:jc w:val="both"/>
        <w:outlineLvl w:val="0"/>
        <w:rPr>
          <w:rFonts w:cs="Arial"/>
          <w:spacing w:val="-14"/>
          <w:w w:val="80"/>
          <w:kern w:val="48"/>
        </w:rPr>
      </w:pPr>
    </w:p>
    <w:p w:rsidR="00194694" w:rsidRDefault="006C6C4A" w:rsidP="00194694">
      <w:pPr>
        <w:spacing w:after="0" w:line="220" w:lineRule="exact"/>
        <w:ind w:left="284"/>
        <w:jc w:val="both"/>
        <w:outlineLvl w:val="0"/>
        <w:rPr>
          <w:rFonts w:cs="Arial"/>
          <w:spacing w:val="-14"/>
          <w:w w:val="80"/>
          <w:kern w:val="48"/>
        </w:rPr>
      </w:pPr>
      <w:r w:rsidRPr="00B77D7A">
        <w:rPr>
          <w:rFonts w:cs="Arial"/>
          <w:b/>
          <w:bCs/>
          <w:color w:val="0070C0"/>
          <w:spacing w:val="-14"/>
          <w:w w:val="80"/>
          <w:kern w:val="48"/>
        </w:rPr>
        <w:t xml:space="preserve">8. </w:t>
      </w:r>
      <w:r w:rsidR="00656256" w:rsidRPr="00B77D7A">
        <w:rPr>
          <w:rFonts w:cs="Arial"/>
          <w:b/>
          <w:bCs/>
          <w:color w:val="0070C0"/>
          <w:spacing w:val="-14"/>
          <w:w w:val="80"/>
          <w:kern w:val="48"/>
        </w:rPr>
        <w:t>ΣΥΜΦΩΝΙΕΣ</w:t>
      </w:r>
      <w:r w:rsidR="003D63DB" w:rsidRPr="00B77D7A">
        <w:rPr>
          <w:rFonts w:cs="Arial"/>
          <w:b/>
          <w:bCs/>
          <w:color w:val="0070C0"/>
          <w:spacing w:val="-14"/>
          <w:w w:val="80"/>
          <w:kern w:val="48"/>
        </w:rPr>
        <w:t xml:space="preserve"> – </w:t>
      </w:r>
      <w:r w:rsidR="00850535" w:rsidRPr="00B77D7A">
        <w:rPr>
          <w:rFonts w:cs="Arial"/>
          <w:b/>
          <w:bCs/>
          <w:color w:val="0070C0"/>
          <w:spacing w:val="-14"/>
          <w:w w:val="80"/>
          <w:kern w:val="48"/>
        </w:rPr>
        <w:t xml:space="preserve"> </w:t>
      </w:r>
      <w:r w:rsidR="003D63DB" w:rsidRPr="00B77D7A">
        <w:rPr>
          <w:rFonts w:cs="Arial"/>
          <w:b/>
          <w:bCs/>
          <w:color w:val="0070C0"/>
          <w:spacing w:val="-14"/>
          <w:w w:val="80"/>
          <w:kern w:val="48"/>
        </w:rPr>
        <w:t xml:space="preserve">ΕΠΙΣΚΕΨΕΙΣ </w:t>
      </w:r>
    </w:p>
    <w:p w:rsidR="00194694" w:rsidRDefault="00194694" w:rsidP="00194694">
      <w:pPr>
        <w:spacing w:after="0" w:line="220" w:lineRule="exact"/>
        <w:ind w:left="284"/>
        <w:jc w:val="both"/>
        <w:outlineLvl w:val="0"/>
        <w:rPr>
          <w:rFonts w:cs="Arial"/>
          <w:spacing w:val="-14"/>
          <w:w w:val="80"/>
          <w:kern w:val="48"/>
        </w:rPr>
      </w:pPr>
    </w:p>
    <w:p w:rsidR="00194694" w:rsidRDefault="006C6C4A" w:rsidP="00194694">
      <w:pPr>
        <w:spacing w:after="0" w:line="220" w:lineRule="exact"/>
        <w:ind w:left="284"/>
        <w:jc w:val="both"/>
        <w:outlineLvl w:val="0"/>
        <w:rPr>
          <w:rFonts w:cs="Arial"/>
          <w:spacing w:val="-14"/>
          <w:w w:val="80"/>
          <w:kern w:val="48"/>
        </w:rPr>
      </w:pPr>
      <w:r w:rsidRPr="00B77D7A">
        <w:rPr>
          <w:rFonts w:cs="Arial"/>
          <w:b/>
          <w:bCs/>
          <w:color w:val="0070C0"/>
          <w:spacing w:val="-14"/>
          <w:w w:val="80"/>
          <w:kern w:val="48"/>
        </w:rPr>
        <w:t xml:space="preserve">8.1  </w:t>
      </w:r>
      <w:r w:rsidR="003D63DB" w:rsidRPr="00B77D7A">
        <w:rPr>
          <w:rFonts w:cs="Arial"/>
          <w:b/>
          <w:bCs/>
          <w:color w:val="0070C0"/>
          <w:spacing w:val="-14"/>
          <w:w w:val="80"/>
          <w:kern w:val="48"/>
        </w:rPr>
        <w:t>Επίσκεψη εργασίας του Διοικητή της Τράπεζας της Ελλάδος στην Κύπρο (1.3.24).</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3D63DB" w:rsidRPr="00A36633">
        <w:rPr>
          <w:rFonts w:cs="Arial"/>
          <w:bCs/>
          <w:spacing w:val="-14"/>
          <w:w w:val="80"/>
          <w:kern w:val="48"/>
        </w:rPr>
        <w:t xml:space="preserve">Ο Διοικητής της Τράπεζας της Ελλάδος κ. Ι. </w:t>
      </w:r>
      <w:proofErr w:type="spellStart"/>
      <w:r w:rsidR="003D63DB" w:rsidRPr="00A36633">
        <w:rPr>
          <w:rFonts w:cs="Arial"/>
          <w:bCs/>
          <w:spacing w:val="-14"/>
          <w:w w:val="80"/>
          <w:kern w:val="48"/>
        </w:rPr>
        <w:t>Στουρνάρας</w:t>
      </w:r>
      <w:proofErr w:type="spellEnd"/>
      <w:r w:rsidR="003D63DB" w:rsidRPr="00A36633">
        <w:rPr>
          <w:rFonts w:cs="Arial"/>
          <w:bCs/>
          <w:spacing w:val="-14"/>
          <w:w w:val="80"/>
          <w:kern w:val="48"/>
        </w:rPr>
        <w:t xml:space="preserve"> πραγματοποίησε</w:t>
      </w:r>
      <w:r w:rsidR="008E4024">
        <w:rPr>
          <w:rFonts w:cs="Arial"/>
          <w:bCs/>
          <w:spacing w:val="-14"/>
          <w:w w:val="80"/>
          <w:kern w:val="48"/>
        </w:rPr>
        <w:t>,</w:t>
      </w:r>
      <w:r w:rsidR="003D63DB" w:rsidRPr="00A36633">
        <w:rPr>
          <w:rFonts w:cs="Arial"/>
          <w:bCs/>
          <w:spacing w:val="-14"/>
          <w:w w:val="80"/>
          <w:kern w:val="48"/>
        </w:rPr>
        <w:t xml:space="preserve"> την Παρασκευή 1 Μαρτίου </w:t>
      </w:r>
      <w:proofErr w:type="spellStart"/>
      <w:r w:rsidR="003D63DB" w:rsidRPr="00A36633">
        <w:rPr>
          <w:rFonts w:cs="Arial"/>
          <w:bCs/>
          <w:spacing w:val="-14"/>
          <w:w w:val="80"/>
          <w:kern w:val="48"/>
        </w:rPr>
        <w:t>τ.έ</w:t>
      </w:r>
      <w:proofErr w:type="spellEnd"/>
      <w:r w:rsidR="003D63DB" w:rsidRPr="00A36633">
        <w:rPr>
          <w:rFonts w:cs="Arial"/>
          <w:bCs/>
          <w:spacing w:val="-14"/>
          <w:w w:val="80"/>
          <w:kern w:val="48"/>
        </w:rPr>
        <w:t>.</w:t>
      </w:r>
      <w:r w:rsidR="008E4024">
        <w:rPr>
          <w:rFonts w:cs="Arial"/>
          <w:bCs/>
          <w:spacing w:val="-14"/>
          <w:w w:val="80"/>
          <w:kern w:val="48"/>
        </w:rPr>
        <w:t>,</w:t>
      </w:r>
      <w:r w:rsidR="003D63DB" w:rsidRPr="00A36633">
        <w:rPr>
          <w:rFonts w:cs="Arial"/>
          <w:bCs/>
          <w:spacing w:val="-14"/>
          <w:w w:val="80"/>
          <w:kern w:val="48"/>
        </w:rPr>
        <w:t xml:space="preserve"> επίσκεψη εργασίας στην Κύπρο,  μετά από πρόσκληση του Διοικητή της Κεντρικής Τράπεζας της Κύπρου (ΚΤΚ) κ. Κ. Ηροδότου. Τον Διοικητή της Τράπεζας της Ελλάδος συνόδευε η Υποδιοικήτρια της Τράπεζας</w:t>
      </w:r>
      <w:r w:rsidR="008E4024">
        <w:rPr>
          <w:rFonts w:cs="Arial"/>
          <w:bCs/>
          <w:spacing w:val="-14"/>
          <w:w w:val="80"/>
          <w:kern w:val="48"/>
        </w:rPr>
        <w:t>,</w:t>
      </w:r>
      <w:r w:rsidR="003D63DB" w:rsidRPr="00A36633">
        <w:rPr>
          <w:rFonts w:cs="Arial"/>
          <w:bCs/>
          <w:spacing w:val="-14"/>
          <w:w w:val="80"/>
          <w:kern w:val="48"/>
        </w:rPr>
        <w:t xml:space="preserve"> κα Χ. Παπακωνσταντίνου. Η επίσκεψη του κ. </w:t>
      </w:r>
      <w:proofErr w:type="spellStart"/>
      <w:r w:rsidR="003D63DB" w:rsidRPr="00A36633">
        <w:rPr>
          <w:rFonts w:cs="Arial"/>
          <w:bCs/>
          <w:spacing w:val="-14"/>
          <w:w w:val="80"/>
          <w:kern w:val="48"/>
        </w:rPr>
        <w:t>Στουρνάρα</w:t>
      </w:r>
      <w:proofErr w:type="spellEnd"/>
      <w:r w:rsidR="003D63DB" w:rsidRPr="00A36633">
        <w:rPr>
          <w:rFonts w:cs="Arial"/>
          <w:bCs/>
          <w:spacing w:val="-14"/>
          <w:w w:val="80"/>
          <w:kern w:val="48"/>
        </w:rPr>
        <w:t xml:space="preserve"> περιλάμβανε</w:t>
      </w:r>
      <w:r w:rsidR="008E4024">
        <w:rPr>
          <w:rFonts w:cs="Arial"/>
          <w:bCs/>
          <w:spacing w:val="-14"/>
          <w:w w:val="80"/>
          <w:kern w:val="48"/>
        </w:rPr>
        <w:t>,</w:t>
      </w:r>
      <w:r w:rsidR="003D63DB" w:rsidRPr="00A36633">
        <w:rPr>
          <w:rFonts w:cs="Arial"/>
          <w:bCs/>
          <w:spacing w:val="-14"/>
          <w:w w:val="80"/>
          <w:kern w:val="48"/>
        </w:rPr>
        <w:t xml:space="preserve"> επίσης </w:t>
      </w:r>
      <w:r w:rsidR="008E4024">
        <w:rPr>
          <w:rFonts w:cs="Arial"/>
          <w:bCs/>
          <w:spacing w:val="-14"/>
          <w:w w:val="80"/>
          <w:kern w:val="48"/>
        </w:rPr>
        <w:t>,</w:t>
      </w:r>
      <w:r w:rsidR="003D63DB" w:rsidRPr="00A36633">
        <w:rPr>
          <w:rFonts w:cs="Arial"/>
          <w:bCs/>
          <w:spacing w:val="-14"/>
          <w:w w:val="80"/>
          <w:kern w:val="48"/>
        </w:rPr>
        <w:t>παραγωγικές συναντήσεις με τον Πρόεδρο της Κυπριακής Δημοκρατίας</w:t>
      </w:r>
      <w:r w:rsidR="008E4024">
        <w:rPr>
          <w:rFonts w:cs="Arial"/>
          <w:bCs/>
          <w:spacing w:val="-14"/>
          <w:w w:val="80"/>
          <w:kern w:val="48"/>
        </w:rPr>
        <w:t>,</w:t>
      </w:r>
      <w:r w:rsidR="003D63DB" w:rsidRPr="00A36633">
        <w:rPr>
          <w:rFonts w:cs="Arial"/>
          <w:bCs/>
          <w:spacing w:val="-14"/>
          <w:w w:val="80"/>
          <w:kern w:val="48"/>
        </w:rPr>
        <w:t xml:space="preserve"> κ. Ν. Χριστοδουλίδη και τον κ/ Υπουργό Οικονομικών</w:t>
      </w:r>
      <w:r w:rsidR="008E4024">
        <w:rPr>
          <w:rFonts w:cs="Arial"/>
          <w:bCs/>
          <w:spacing w:val="-14"/>
          <w:w w:val="80"/>
          <w:kern w:val="48"/>
        </w:rPr>
        <w:t>,</w:t>
      </w:r>
      <w:r w:rsidR="003D63DB" w:rsidRPr="00A36633">
        <w:rPr>
          <w:rFonts w:cs="Arial"/>
          <w:bCs/>
          <w:spacing w:val="-14"/>
          <w:w w:val="80"/>
          <w:kern w:val="48"/>
        </w:rPr>
        <w:t xml:space="preserve"> κ. Μ. Κεραυνό. </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3D63DB" w:rsidRPr="00A36633">
        <w:rPr>
          <w:rFonts w:cs="Arial"/>
          <w:bCs/>
          <w:spacing w:val="-14"/>
          <w:w w:val="80"/>
          <w:kern w:val="48"/>
        </w:rPr>
        <w:t>Κατά τις επαφές με την Κεντρική Τράπεζα της Κύπρου</w:t>
      </w:r>
      <w:r w:rsidR="008E4024">
        <w:rPr>
          <w:rFonts w:cs="Arial"/>
          <w:bCs/>
          <w:spacing w:val="-14"/>
          <w:w w:val="80"/>
          <w:kern w:val="48"/>
        </w:rPr>
        <w:t>,</w:t>
      </w:r>
      <w:r w:rsidR="003D63DB" w:rsidRPr="00A36633">
        <w:rPr>
          <w:rFonts w:cs="Arial"/>
          <w:bCs/>
          <w:spacing w:val="-14"/>
          <w:w w:val="80"/>
          <w:kern w:val="48"/>
        </w:rPr>
        <w:t xml:space="preserve"> επιβεβαιώθηκε η ισχυρή σχέση και συνεργασία της Τράπεζας της Ελλάδος με την Κεντρική Τράπεζα της Κύπρου, η οποία επισφραγίστηκε με την υπογραφή Μνημονίου Συνεργασίας, που θεσμοθετεί τη συνεργασία των δύο Κεντρικών Τραπεζών σε συγκεκριμένους τομείς, ενισχύοντας</w:t>
      </w:r>
      <w:r w:rsidR="00342C9E">
        <w:rPr>
          <w:rFonts w:cs="Arial"/>
          <w:bCs/>
          <w:spacing w:val="-14"/>
          <w:w w:val="80"/>
          <w:kern w:val="48"/>
        </w:rPr>
        <w:t>,</w:t>
      </w:r>
      <w:r w:rsidR="003D63DB" w:rsidRPr="00A36633">
        <w:rPr>
          <w:rFonts w:cs="Arial"/>
          <w:bCs/>
          <w:spacing w:val="-14"/>
          <w:w w:val="80"/>
          <w:kern w:val="48"/>
        </w:rPr>
        <w:t xml:space="preserve"> παράλληλα</w:t>
      </w:r>
      <w:r w:rsidR="00342C9E">
        <w:rPr>
          <w:rFonts w:cs="Arial"/>
          <w:bCs/>
          <w:spacing w:val="-14"/>
          <w:w w:val="80"/>
          <w:kern w:val="48"/>
        </w:rPr>
        <w:t>,</w:t>
      </w:r>
      <w:r w:rsidR="003D63DB" w:rsidRPr="00A36633">
        <w:rPr>
          <w:rFonts w:cs="Arial"/>
          <w:bCs/>
          <w:spacing w:val="-14"/>
          <w:w w:val="80"/>
          <w:kern w:val="48"/>
        </w:rPr>
        <w:t xml:space="preserve"> την τεχνογνωσία των δύο Αρχών. Η ενισχυμένη συνεργασία μεταξύ των δύο εποπτικών Αρχών καλύπτει </w:t>
      </w:r>
      <w:r w:rsidR="003D63DB" w:rsidRPr="00A36633">
        <w:rPr>
          <w:rFonts w:cs="Arial"/>
          <w:bCs/>
          <w:spacing w:val="-14"/>
          <w:w w:val="80"/>
          <w:kern w:val="48"/>
        </w:rPr>
        <w:lastRenderedPageBreak/>
        <w:t xml:space="preserve">ζητήματα, όπως τα τεστ ανθεκτικότητας, τους τεχνολογικούς κινδύνους, την κλιματική αλλαγή, τη διαχείριση κρίσεων, την εποπτεία των Ιδρυμάτων Πληρωμών και Ηλεκτρονικού Χρήματος εποπτείας (επιτόπιοι έλεγχοι, </w:t>
      </w:r>
      <w:proofErr w:type="spellStart"/>
      <w:r w:rsidR="003D63DB" w:rsidRPr="00A36633">
        <w:rPr>
          <w:rFonts w:cs="Arial"/>
          <w:bCs/>
          <w:spacing w:val="-14"/>
          <w:w w:val="80"/>
          <w:kern w:val="48"/>
        </w:rPr>
        <w:t>cyber</w:t>
      </w:r>
      <w:proofErr w:type="spellEnd"/>
      <w:r w:rsidR="003D63DB" w:rsidRPr="00A36633">
        <w:rPr>
          <w:rFonts w:cs="Arial"/>
          <w:bCs/>
          <w:spacing w:val="-14"/>
          <w:w w:val="80"/>
          <w:kern w:val="48"/>
        </w:rPr>
        <w:t xml:space="preserve"> </w:t>
      </w:r>
      <w:proofErr w:type="spellStart"/>
      <w:r w:rsidR="003D63DB" w:rsidRPr="00A36633">
        <w:rPr>
          <w:rFonts w:cs="Arial"/>
          <w:bCs/>
          <w:spacing w:val="-14"/>
          <w:w w:val="80"/>
          <w:kern w:val="48"/>
        </w:rPr>
        <w:t>resilience</w:t>
      </w:r>
      <w:proofErr w:type="spellEnd"/>
      <w:r w:rsidR="003D63DB" w:rsidRPr="00A36633">
        <w:rPr>
          <w:rFonts w:cs="Arial"/>
          <w:bCs/>
          <w:spacing w:val="-14"/>
          <w:w w:val="80"/>
          <w:kern w:val="48"/>
        </w:rPr>
        <w:t xml:space="preserve">, ICT </w:t>
      </w:r>
      <w:proofErr w:type="spellStart"/>
      <w:r w:rsidR="003D63DB" w:rsidRPr="00A36633">
        <w:rPr>
          <w:rFonts w:cs="Arial"/>
          <w:bCs/>
          <w:spacing w:val="-14"/>
          <w:w w:val="80"/>
          <w:kern w:val="48"/>
        </w:rPr>
        <w:t>risks</w:t>
      </w:r>
      <w:proofErr w:type="spellEnd"/>
      <w:r w:rsidR="003D63DB" w:rsidRPr="00A36633">
        <w:rPr>
          <w:rFonts w:cs="Arial"/>
          <w:bCs/>
          <w:spacing w:val="-14"/>
          <w:w w:val="80"/>
          <w:kern w:val="48"/>
        </w:rPr>
        <w:t>), την καταπολέμηση του ξεπλύματος χρήματος, τις δράσεις χρηματοοικονομικού αλφαβητισμού και την οικονομική έρευνα. </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3D63DB" w:rsidRPr="00A36633">
        <w:rPr>
          <w:rFonts w:cs="Arial"/>
          <w:bCs/>
          <w:spacing w:val="-14"/>
          <w:w w:val="80"/>
          <w:kern w:val="48"/>
        </w:rPr>
        <w:t>Ο κ. Ηροδότου χαρακτήρισε την υπογραφή του Μνημονίου Συνεργασίας με την Τράπεζα της Ελλάδος κομβική στιγμή, όχι μόνο</w:t>
      </w:r>
      <w:r w:rsidR="00342C9E">
        <w:rPr>
          <w:rFonts w:cs="Arial"/>
          <w:bCs/>
          <w:spacing w:val="-14"/>
          <w:w w:val="80"/>
          <w:kern w:val="48"/>
        </w:rPr>
        <w:t>,</w:t>
      </w:r>
      <w:r w:rsidR="003D63DB" w:rsidRPr="00A36633">
        <w:rPr>
          <w:rFonts w:cs="Arial"/>
          <w:bCs/>
          <w:spacing w:val="-14"/>
          <w:w w:val="80"/>
          <w:kern w:val="48"/>
        </w:rPr>
        <w:t xml:space="preserve"> γιατί ενισχύει τους ήδη στενούς δεσμούς των δύο κεντρικών τραπεζών, αλλά και γιατί ανοίγει νέους δρόμους για περαιτέρω συνεργασία στον χρηματοοικονομικό τομέα και τη χρηματοπιστωτική σταθερότητα. Εξέφρασε</w:t>
      </w:r>
      <w:r w:rsidR="00342C9E">
        <w:rPr>
          <w:rFonts w:cs="Arial"/>
          <w:bCs/>
          <w:spacing w:val="-14"/>
          <w:w w:val="80"/>
          <w:kern w:val="48"/>
        </w:rPr>
        <w:t>,</w:t>
      </w:r>
      <w:r w:rsidR="003D63DB" w:rsidRPr="00A36633">
        <w:rPr>
          <w:rFonts w:cs="Arial"/>
          <w:bCs/>
          <w:spacing w:val="-14"/>
          <w:w w:val="80"/>
          <w:kern w:val="48"/>
        </w:rPr>
        <w:t xml:space="preserve"> </w:t>
      </w:r>
      <w:r w:rsidR="00342C9E">
        <w:rPr>
          <w:rFonts w:cs="Arial"/>
          <w:bCs/>
          <w:spacing w:val="-14"/>
          <w:w w:val="80"/>
          <w:kern w:val="48"/>
        </w:rPr>
        <w:t>επίσης,</w:t>
      </w:r>
      <w:r w:rsidR="003D63DB" w:rsidRPr="00A36633">
        <w:rPr>
          <w:rFonts w:cs="Arial"/>
          <w:bCs/>
          <w:spacing w:val="-14"/>
          <w:w w:val="80"/>
          <w:kern w:val="48"/>
        </w:rPr>
        <w:t xml:space="preserve"> την αισιοδοξία του για υλοποίηση των σημαντικών πρωτοβουλιών, που περιγράφονται στο Μνημόνιο Συνεργασίας</w:t>
      </w:r>
      <w:r w:rsidR="00342C9E">
        <w:rPr>
          <w:rFonts w:cs="Arial"/>
          <w:bCs/>
          <w:spacing w:val="-14"/>
          <w:w w:val="80"/>
          <w:kern w:val="48"/>
        </w:rPr>
        <w:t>,</w:t>
      </w:r>
      <w:r w:rsidR="003D63DB" w:rsidRPr="00A36633">
        <w:rPr>
          <w:rFonts w:cs="Arial"/>
          <w:bCs/>
          <w:spacing w:val="-14"/>
          <w:w w:val="80"/>
          <w:kern w:val="48"/>
        </w:rPr>
        <w:t xml:space="preserve"> καθώς οι δύο Κεντρικές Τράπεζες</w:t>
      </w:r>
      <w:r w:rsidR="00342C9E">
        <w:rPr>
          <w:rFonts w:cs="Arial"/>
          <w:bCs/>
          <w:spacing w:val="-14"/>
          <w:w w:val="80"/>
          <w:kern w:val="48"/>
        </w:rPr>
        <w:t>,</w:t>
      </w:r>
      <w:r w:rsidR="003D63DB" w:rsidRPr="00A36633">
        <w:rPr>
          <w:rFonts w:cs="Arial"/>
          <w:bCs/>
          <w:spacing w:val="-14"/>
          <w:w w:val="80"/>
          <w:kern w:val="48"/>
        </w:rPr>
        <w:t xml:space="preserve"> ως εποπτικές Αρχές</w:t>
      </w:r>
      <w:r w:rsidR="00342C9E">
        <w:rPr>
          <w:rFonts w:cs="Arial"/>
          <w:bCs/>
          <w:spacing w:val="-14"/>
          <w:w w:val="80"/>
          <w:kern w:val="48"/>
        </w:rPr>
        <w:t>,</w:t>
      </w:r>
      <w:r w:rsidR="003D63DB" w:rsidRPr="00A36633">
        <w:rPr>
          <w:rFonts w:cs="Arial"/>
          <w:bCs/>
          <w:spacing w:val="-14"/>
          <w:w w:val="80"/>
          <w:kern w:val="48"/>
        </w:rPr>
        <w:t xml:space="preserve"> έχουν να διαχειριστούν σημαντικά κοινά τεχνικά ζητήματα </w:t>
      </w:r>
      <w:proofErr w:type="spellStart"/>
      <w:r w:rsidR="003D63DB" w:rsidRPr="00A36633">
        <w:rPr>
          <w:rFonts w:cs="Arial"/>
          <w:bCs/>
          <w:spacing w:val="-14"/>
          <w:w w:val="80"/>
          <w:kern w:val="48"/>
        </w:rPr>
        <w:t>χρηματοιοκονομικής</w:t>
      </w:r>
      <w:proofErr w:type="spellEnd"/>
      <w:r w:rsidR="003D63DB" w:rsidRPr="00A36633">
        <w:rPr>
          <w:rFonts w:cs="Arial"/>
          <w:bCs/>
          <w:spacing w:val="-14"/>
          <w:w w:val="80"/>
          <w:kern w:val="48"/>
        </w:rPr>
        <w:t xml:space="preserve"> φύσης.</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3D63DB" w:rsidRPr="00A36633">
        <w:rPr>
          <w:rFonts w:cs="Arial"/>
          <w:bCs/>
          <w:spacing w:val="-14"/>
          <w:w w:val="80"/>
          <w:kern w:val="48"/>
        </w:rPr>
        <w:t xml:space="preserve">Ο  κ.  </w:t>
      </w:r>
      <w:proofErr w:type="spellStart"/>
      <w:r w:rsidR="003D63DB" w:rsidRPr="00A36633">
        <w:rPr>
          <w:rFonts w:cs="Arial"/>
          <w:bCs/>
          <w:spacing w:val="-14"/>
          <w:w w:val="80"/>
          <w:kern w:val="48"/>
        </w:rPr>
        <w:t>Στουρνάρας</w:t>
      </w:r>
      <w:proofErr w:type="spellEnd"/>
      <w:r w:rsidR="003D63DB" w:rsidRPr="00A36633">
        <w:rPr>
          <w:rFonts w:cs="Arial"/>
          <w:bCs/>
          <w:spacing w:val="-14"/>
          <w:w w:val="80"/>
          <w:kern w:val="48"/>
        </w:rPr>
        <w:t xml:space="preserve"> από την πλευρά του</w:t>
      </w:r>
      <w:r w:rsidR="00342C9E">
        <w:rPr>
          <w:rFonts w:cs="Arial"/>
          <w:bCs/>
          <w:spacing w:val="-14"/>
          <w:w w:val="80"/>
          <w:kern w:val="48"/>
        </w:rPr>
        <w:t>,</w:t>
      </w:r>
      <w:r w:rsidR="003D63DB" w:rsidRPr="00A36633">
        <w:rPr>
          <w:rFonts w:cs="Arial"/>
          <w:bCs/>
          <w:spacing w:val="-14"/>
          <w:w w:val="80"/>
          <w:kern w:val="48"/>
        </w:rPr>
        <w:t xml:space="preserve"> εξέφρασε την ικανοποίηση του από τις επαφές με την Τράπεζα Κύπρου, χαρακτηρίζοντας τα δύο χρημα</w:t>
      </w:r>
      <w:r w:rsidR="00342C9E">
        <w:rPr>
          <w:rFonts w:cs="Arial"/>
          <w:bCs/>
          <w:spacing w:val="-14"/>
          <w:w w:val="80"/>
          <w:kern w:val="48"/>
        </w:rPr>
        <w:t>τοπιστωτικά ιδρύματα «</w:t>
      </w:r>
      <w:proofErr w:type="spellStart"/>
      <w:r w:rsidR="00342C9E">
        <w:rPr>
          <w:rFonts w:cs="Arial"/>
          <w:bCs/>
          <w:spacing w:val="-14"/>
          <w:w w:val="80"/>
          <w:kern w:val="48"/>
        </w:rPr>
        <w:t>αδελφά</w:t>
      </w:r>
      <w:proofErr w:type="spellEnd"/>
      <w:r w:rsidR="00342C9E">
        <w:rPr>
          <w:rFonts w:cs="Arial"/>
          <w:bCs/>
          <w:spacing w:val="-14"/>
          <w:w w:val="80"/>
          <w:kern w:val="48"/>
        </w:rPr>
        <w:t xml:space="preserve">», </w:t>
      </w:r>
      <w:r w:rsidR="003D63DB" w:rsidRPr="00A36633">
        <w:rPr>
          <w:rFonts w:cs="Arial"/>
          <w:bCs/>
          <w:spacing w:val="-14"/>
          <w:w w:val="80"/>
          <w:kern w:val="48"/>
        </w:rPr>
        <w:t xml:space="preserve">καθώς στη διαχρονικά στενή τους συνεργασία, στο πλαίσιο του </w:t>
      </w:r>
      <w:proofErr w:type="spellStart"/>
      <w:r w:rsidR="003D63DB" w:rsidRPr="00A36633">
        <w:rPr>
          <w:rFonts w:cs="Arial"/>
          <w:bCs/>
          <w:spacing w:val="-14"/>
          <w:w w:val="80"/>
          <w:kern w:val="48"/>
        </w:rPr>
        <w:t>Ευρωσυστήματος</w:t>
      </w:r>
      <w:proofErr w:type="spellEnd"/>
      <w:r w:rsidR="00342C9E">
        <w:rPr>
          <w:rFonts w:cs="Arial"/>
          <w:bCs/>
          <w:spacing w:val="-14"/>
          <w:w w:val="80"/>
          <w:kern w:val="48"/>
        </w:rPr>
        <w:t>,</w:t>
      </w:r>
      <w:r w:rsidR="003D63DB" w:rsidRPr="00A36633">
        <w:rPr>
          <w:rFonts w:cs="Arial"/>
          <w:bCs/>
          <w:spacing w:val="-14"/>
          <w:w w:val="80"/>
          <w:kern w:val="48"/>
        </w:rPr>
        <w:t xml:space="preserve"> αντανακλάται και η αδελφική σχέση των δύο λαών. Χαρακτήρισε την υπογραφή του μνημονίου συνεργασίας</w:t>
      </w:r>
      <w:r w:rsidR="00342C9E">
        <w:rPr>
          <w:rFonts w:cs="Arial"/>
          <w:bCs/>
          <w:spacing w:val="-14"/>
          <w:w w:val="80"/>
          <w:kern w:val="48"/>
        </w:rPr>
        <w:t>,</w:t>
      </w:r>
      <w:r w:rsidR="003D63DB" w:rsidRPr="00A36633">
        <w:rPr>
          <w:rFonts w:cs="Arial"/>
          <w:bCs/>
          <w:spacing w:val="-14"/>
          <w:w w:val="80"/>
          <w:kern w:val="48"/>
        </w:rPr>
        <w:t xml:space="preserve"> αφενός</w:t>
      </w:r>
      <w:r w:rsidR="00342C9E">
        <w:rPr>
          <w:rFonts w:cs="Arial"/>
          <w:bCs/>
          <w:spacing w:val="-14"/>
          <w:w w:val="80"/>
          <w:kern w:val="48"/>
        </w:rPr>
        <w:t>,</w:t>
      </w:r>
      <w:r w:rsidR="003D63DB" w:rsidRPr="00A36633">
        <w:rPr>
          <w:rFonts w:cs="Arial"/>
          <w:bCs/>
          <w:spacing w:val="-14"/>
          <w:w w:val="80"/>
          <w:kern w:val="48"/>
        </w:rPr>
        <w:t xml:space="preserve"> ως βήμα περαιτέρω εμβάθυνσης της συνεργασίας</w:t>
      </w:r>
      <w:r w:rsidR="00342C9E">
        <w:rPr>
          <w:rFonts w:cs="Arial"/>
          <w:bCs/>
          <w:spacing w:val="-14"/>
          <w:w w:val="80"/>
          <w:kern w:val="48"/>
        </w:rPr>
        <w:t xml:space="preserve"> των δύο κεντρικών τραπεζών, </w:t>
      </w:r>
      <w:r w:rsidR="003D63DB" w:rsidRPr="00A36633">
        <w:rPr>
          <w:rFonts w:cs="Arial"/>
          <w:bCs/>
          <w:spacing w:val="-14"/>
          <w:w w:val="80"/>
          <w:kern w:val="48"/>
        </w:rPr>
        <w:t>αφετέρου επιστέγασμα της στενής συνεργασίας του με τον Κύπριο ομόλογό του, τόσο σε εθνικό επίπεδο</w:t>
      </w:r>
      <w:r w:rsidR="00342C9E">
        <w:rPr>
          <w:rFonts w:cs="Arial"/>
          <w:bCs/>
          <w:spacing w:val="-14"/>
          <w:w w:val="80"/>
          <w:kern w:val="48"/>
        </w:rPr>
        <w:t>,</w:t>
      </w:r>
      <w:r w:rsidR="003D63DB" w:rsidRPr="00A36633">
        <w:rPr>
          <w:rFonts w:cs="Arial"/>
          <w:bCs/>
          <w:spacing w:val="-14"/>
          <w:w w:val="80"/>
          <w:kern w:val="48"/>
        </w:rPr>
        <w:t xml:space="preserve"> όσο και στο πλαίσιο του Διοικητικού Συμβουλίου της Ευρωπαϊκής Κεντρικής Τράπεζας, στο οποίο μετέχουν κι οι δύο.</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3D63DB" w:rsidRPr="00A36633">
        <w:rPr>
          <w:rFonts w:cs="Arial"/>
          <w:bCs/>
          <w:spacing w:val="-14"/>
          <w:w w:val="80"/>
          <w:kern w:val="48"/>
        </w:rPr>
        <w:t>Στις συναντήσεις με τον κ. Χριστοδουλίδη και τον κ. Μ. Κεραυνό συζητήθηκαν διεξοδικά οι οικονομικές εξελίξεις στην περιοχή και ειδικά στον χρηματοοικονομικό τομέα. Σημειώνουμε τέλος</w:t>
      </w:r>
      <w:r w:rsidR="00342C9E">
        <w:rPr>
          <w:rFonts w:cs="Arial"/>
          <w:bCs/>
          <w:spacing w:val="-14"/>
          <w:w w:val="80"/>
          <w:kern w:val="48"/>
        </w:rPr>
        <w:t>,</w:t>
      </w:r>
      <w:r w:rsidR="003D63DB" w:rsidRPr="00A36633">
        <w:rPr>
          <w:rFonts w:cs="Arial"/>
          <w:bCs/>
          <w:spacing w:val="-14"/>
          <w:w w:val="80"/>
          <w:kern w:val="48"/>
        </w:rPr>
        <w:t xml:space="preserve"> ότι, η επίσκεψη πραγματοποιήθηκε σε συνέχεια  αντίστοιχης επίσκεψης  εργασίας  της Υποδιοικήτριας της Τράπεζας της Ελλάδος, </w:t>
      </w:r>
      <w:proofErr w:type="spellStart"/>
      <w:r w:rsidR="003D63DB" w:rsidRPr="00A36633">
        <w:rPr>
          <w:rFonts w:cs="Arial"/>
          <w:bCs/>
          <w:spacing w:val="-14"/>
          <w:w w:val="80"/>
          <w:kern w:val="48"/>
        </w:rPr>
        <w:t>κας</w:t>
      </w:r>
      <w:proofErr w:type="spellEnd"/>
      <w:r w:rsidR="003D63DB" w:rsidRPr="00A36633">
        <w:rPr>
          <w:rFonts w:cs="Arial"/>
          <w:bCs/>
          <w:spacing w:val="-14"/>
          <w:w w:val="80"/>
          <w:kern w:val="48"/>
        </w:rPr>
        <w:t xml:space="preserve"> Χ. Παπακωνσταντίνου, τον Σεπτέμβριο του 2023, κατά την οποία είχε συμφωνηθεί η σύναψη Μνημονίου Συνεργασίας μεταξύ των δύο κεντρικών τραπεζών.</w:t>
      </w:r>
    </w:p>
    <w:p w:rsidR="00194694" w:rsidRDefault="00194694" w:rsidP="00194694">
      <w:pPr>
        <w:spacing w:after="0" w:line="220" w:lineRule="exact"/>
        <w:ind w:left="284"/>
        <w:jc w:val="both"/>
        <w:outlineLvl w:val="0"/>
        <w:rPr>
          <w:rFonts w:cs="Arial"/>
          <w:spacing w:val="-14"/>
          <w:w w:val="80"/>
          <w:kern w:val="48"/>
        </w:rPr>
      </w:pPr>
    </w:p>
    <w:p w:rsidR="00194694" w:rsidRDefault="00AA79FA" w:rsidP="00194694">
      <w:pPr>
        <w:spacing w:after="0" w:line="220" w:lineRule="exact"/>
        <w:ind w:left="284"/>
        <w:jc w:val="both"/>
        <w:outlineLvl w:val="0"/>
        <w:rPr>
          <w:rFonts w:cs="Arial"/>
          <w:spacing w:val="-14"/>
          <w:w w:val="80"/>
          <w:kern w:val="48"/>
        </w:rPr>
      </w:pPr>
      <w:r w:rsidRPr="00B77D7A">
        <w:rPr>
          <w:rFonts w:cs="Arial"/>
          <w:b/>
          <w:bCs/>
          <w:color w:val="0070C0"/>
          <w:spacing w:val="-14"/>
          <w:w w:val="80"/>
          <w:kern w:val="48"/>
        </w:rPr>
        <w:t xml:space="preserve">8.2  </w:t>
      </w:r>
      <w:r w:rsidR="00850535" w:rsidRPr="00B77D7A">
        <w:rPr>
          <w:rFonts w:cs="Arial"/>
          <w:b/>
          <w:bCs/>
          <w:color w:val="0070C0"/>
          <w:spacing w:val="-14"/>
          <w:w w:val="80"/>
          <w:kern w:val="48"/>
        </w:rPr>
        <w:t>Εκκρεμότητα κύρωσης και από την Κύπρο της Οικονομικής Συμφωνίας ΕΕ-Καναδά (</w:t>
      </w:r>
      <w:r w:rsidR="00850535" w:rsidRPr="00B77D7A">
        <w:rPr>
          <w:rFonts w:cs="Arial"/>
          <w:b/>
          <w:bCs/>
          <w:color w:val="0070C0"/>
          <w:spacing w:val="-14"/>
          <w:w w:val="80"/>
          <w:kern w:val="48"/>
          <w:lang w:val="en-US"/>
        </w:rPr>
        <w:t>CETA</w:t>
      </w:r>
      <w:r w:rsidR="00850535" w:rsidRPr="00B77D7A">
        <w:rPr>
          <w:rFonts w:cs="Arial"/>
          <w:b/>
          <w:bCs/>
          <w:color w:val="0070C0"/>
          <w:spacing w:val="-14"/>
          <w:w w:val="80"/>
          <w:kern w:val="48"/>
        </w:rPr>
        <w:t>)</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850535" w:rsidRPr="00850535">
        <w:rPr>
          <w:rFonts w:cs="Arial"/>
          <w:bCs/>
          <w:spacing w:val="-14"/>
          <w:w w:val="80"/>
          <w:kern w:val="48"/>
        </w:rPr>
        <w:t xml:space="preserve">Σύμφωνα με εδώ </w:t>
      </w:r>
      <w:proofErr w:type="spellStart"/>
      <w:r w:rsidR="00850535" w:rsidRPr="00850535">
        <w:rPr>
          <w:rFonts w:cs="Arial"/>
          <w:bCs/>
          <w:spacing w:val="-14"/>
          <w:w w:val="80"/>
          <w:kern w:val="48"/>
        </w:rPr>
        <w:t>δημοσιεύμα</w:t>
      </w:r>
      <w:proofErr w:type="spellEnd"/>
      <w:r w:rsidR="00850535" w:rsidRPr="00850535">
        <w:rPr>
          <w:rFonts w:cs="Arial"/>
          <w:bCs/>
          <w:spacing w:val="-14"/>
          <w:w w:val="80"/>
          <w:kern w:val="48"/>
        </w:rPr>
        <w:t xml:space="preserve"> (</w:t>
      </w:r>
      <w:proofErr w:type="spellStart"/>
      <w:r w:rsidR="00850535" w:rsidRPr="00850535">
        <w:rPr>
          <w:rFonts w:cs="Arial"/>
          <w:bCs/>
          <w:spacing w:val="-14"/>
          <w:w w:val="80"/>
          <w:kern w:val="48"/>
          <w:lang w:val="en-US"/>
        </w:rPr>
        <w:t>Stockwatch</w:t>
      </w:r>
      <w:proofErr w:type="spellEnd"/>
      <w:r w:rsidR="00850535" w:rsidRPr="00850535">
        <w:rPr>
          <w:rFonts w:cs="Arial"/>
          <w:bCs/>
          <w:spacing w:val="-14"/>
          <w:w w:val="80"/>
          <w:kern w:val="48"/>
        </w:rPr>
        <w:t>, 16/1/24) η κοινοβουλευτική ομάδα των Σοσιαλδημοκρατών (S&amp;D) στο Ευρωπαϊκό Κοινοβούλιο ζήτησε την κύρωση το συντομότερο της Περιεκτικής Οικονομικής και Εμπορικής Συμφωνίας ΕΕ - Καναδά (CETA) από τα δέκα κράτη-μέλη, που δεν την έχουν κυρώσει ακόμα</w:t>
      </w:r>
      <w:r w:rsidR="00342C9E">
        <w:rPr>
          <w:rFonts w:cs="Arial"/>
          <w:bCs/>
          <w:spacing w:val="-14"/>
          <w:w w:val="80"/>
          <w:kern w:val="48"/>
        </w:rPr>
        <w:t>,</w:t>
      </w:r>
      <w:r w:rsidR="00850535" w:rsidRPr="00850535">
        <w:rPr>
          <w:rFonts w:cs="Arial"/>
          <w:bCs/>
          <w:spacing w:val="-14"/>
          <w:w w:val="80"/>
          <w:kern w:val="48"/>
        </w:rPr>
        <w:t xml:space="preserve"> 6 χρόνια</w:t>
      </w:r>
      <w:r w:rsidR="00342C9E">
        <w:rPr>
          <w:rFonts w:cs="Arial"/>
          <w:bCs/>
          <w:spacing w:val="-14"/>
          <w:w w:val="80"/>
          <w:kern w:val="48"/>
        </w:rPr>
        <w:t>,</w:t>
      </w:r>
      <w:r w:rsidR="00850535" w:rsidRPr="00850535">
        <w:rPr>
          <w:rFonts w:cs="Arial"/>
          <w:bCs/>
          <w:spacing w:val="-14"/>
          <w:w w:val="80"/>
          <w:kern w:val="48"/>
        </w:rPr>
        <w:t xml:space="preserve"> μετά την έναρξη προσωρινής ισχύος της (2017), με αφορμή την έγκριση από την Ολομέλεια του Ευρωπαϊκού Κοινοβουλίου σχετικής έκθεσης. Σημειώνουμε</w:t>
      </w:r>
      <w:r w:rsidR="00342C9E">
        <w:rPr>
          <w:rFonts w:cs="Arial"/>
          <w:bCs/>
          <w:spacing w:val="-14"/>
          <w:w w:val="80"/>
          <w:kern w:val="48"/>
        </w:rPr>
        <w:t>,</w:t>
      </w:r>
      <w:r w:rsidR="00850535" w:rsidRPr="00850535">
        <w:rPr>
          <w:rFonts w:cs="Arial"/>
          <w:bCs/>
          <w:spacing w:val="-14"/>
          <w:w w:val="80"/>
          <w:kern w:val="48"/>
        </w:rPr>
        <w:t xml:space="preserve"> ότι ήδη ισχύει το μεγαλύτερο μέρος της συμφωνίας με κάποιες εξαιρέσεις.</w:t>
      </w:r>
    </w:p>
    <w:p w:rsidR="00194694" w:rsidRDefault="00194694" w:rsidP="00194694">
      <w:pPr>
        <w:spacing w:after="0" w:line="220" w:lineRule="exact"/>
        <w:ind w:left="284"/>
        <w:jc w:val="both"/>
        <w:outlineLvl w:val="0"/>
        <w:rPr>
          <w:rFonts w:cs="Arial"/>
          <w:spacing w:val="-14"/>
          <w:w w:val="80"/>
          <w:kern w:val="48"/>
        </w:rPr>
      </w:pPr>
      <w:r>
        <w:rPr>
          <w:rFonts w:cs="Arial"/>
          <w:spacing w:val="-14"/>
          <w:w w:val="80"/>
          <w:kern w:val="48"/>
        </w:rPr>
        <w:t xml:space="preserve">      </w:t>
      </w:r>
      <w:r w:rsidR="00E665A7">
        <w:rPr>
          <w:rFonts w:cs="Arial"/>
          <w:bCs/>
          <w:spacing w:val="-14"/>
          <w:w w:val="80"/>
          <w:kern w:val="48"/>
        </w:rPr>
        <w:t xml:space="preserve"> </w:t>
      </w:r>
      <w:r w:rsidR="00342C9E">
        <w:rPr>
          <w:rFonts w:cs="Arial"/>
          <w:bCs/>
          <w:spacing w:val="-14"/>
          <w:w w:val="80"/>
          <w:kern w:val="48"/>
        </w:rPr>
        <w:t>Τα 10 κράτη-</w:t>
      </w:r>
      <w:r w:rsidR="00850535" w:rsidRPr="00850535">
        <w:rPr>
          <w:rFonts w:cs="Arial"/>
          <w:bCs/>
          <w:spacing w:val="-14"/>
          <w:w w:val="80"/>
          <w:kern w:val="48"/>
        </w:rPr>
        <w:t>μέλη, που δεν έχουν ακόμα επικυρώσει τη CETA είναι η Κύπρος, το Βέλγιο, η Βουλγαρία, η Γαλλία, η Ελλάδα, η Ουγγαρία, η Ιρλανδία, η Ιταλία, η Πολωνία και η Σλοβενία. Η ανακοίνωση της κοινοβουλευτικής ομάδας του S&amp;D επικαλείται «σημαντική αύξηση του εμπορίου αγαθών και υπηρεσιών» με τις εξαγωγές αγαθών από την ΕΕ προς τον Καναδά να καταγράφουν αύξηση</w:t>
      </w:r>
      <w:r w:rsidR="00342C9E">
        <w:rPr>
          <w:rFonts w:cs="Arial"/>
          <w:bCs/>
          <w:spacing w:val="-14"/>
          <w:w w:val="80"/>
          <w:kern w:val="48"/>
        </w:rPr>
        <w:t>,</w:t>
      </w:r>
      <w:r w:rsidR="00850535" w:rsidRPr="00850535">
        <w:rPr>
          <w:rFonts w:cs="Arial"/>
          <w:bCs/>
          <w:spacing w:val="-14"/>
          <w:w w:val="80"/>
          <w:kern w:val="48"/>
        </w:rPr>
        <w:t xml:space="preserve"> κατά 47%</w:t>
      </w:r>
      <w:r w:rsidR="00342C9E">
        <w:rPr>
          <w:rFonts w:cs="Arial"/>
          <w:bCs/>
          <w:spacing w:val="-14"/>
          <w:w w:val="80"/>
          <w:kern w:val="48"/>
        </w:rPr>
        <w:t>,</w:t>
      </w:r>
      <w:r w:rsidR="00850535" w:rsidRPr="00850535">
        <w:rPr>
          <w:rFonts w:cs="Arial"/>
          <w:bCs/>
          <w:spacing w:val="-14"/>
          <w:w w:val="80"/>
          <w:kern w:val="48"/>
        </w:rPr>
        <w:t xml:space="preserve"> τα έξι χρόνια (2017-2022) προσωρινής εφαρμογής της CETA . Επίσης, σύμφωνα με εκτιμήσεις της Κομισιόν έχουν έκτοτε, δημιουργηθεί περίπου 75.000 θέσεις εργασίας, που εξαρτώντα</w:t>
      </w:r>
      <w:r w:rsidR="00342C9E">
        <w:rPr>
          <w:rFonts w:cs="Arial"/>
          <w:bCs/>
          <w:spacing w:val="-14"/>
          <w:w w:val="80"/>
          <w:kern w:val="48"/>
        </w:rPr>
        <w:t xml:space="preserve">ι από το εμπόριο. Επιπροσθέτως, </w:t>
      </w:r>
      <w:r w:rsidR="00850535" w:rsidRPr="00850535">
        <w:rPr>
          <w:rFonts w:cs="Arial"/>
          <w:bCs/>
          <w:spacing w:val="-14"/>
          <w:w w:val="80"/>
          <w:kern w:val="48"/>
        </w:rPr>
        <w:t>η CETA διευκολύνει την πρόσβαση σε κρίσιμες πρώτες ύλες, που σχετίζονται με τους στόχους για την πράσινη και την ψηφιακή μετάβαση.</w:t>
      </w:r>
    </w:p>
    <w:p w:rsidR="00194694" w:rsidRDefault="00194694" w:rsidP="00194694">
      <w:pPr>
        <w:spacing w:after="0" w:line="220" w:lineRule="exact"/>
        <w:ind w:left="284"/>
        <w:jc w:val="both"/>
        <w:outlineLvl w:val="0"/>
        <w:rPr>
          <w:rFonts w:cs="Arial"/>
          <w:bCs/>
          <w:spacing w:val="-14"/>
          <w:w w:val="80"/>
          <w:kern w:val="48"/>
        </w:rPr>
      </w:pPr>
      <w:r>
        <w:rPr>
          <w:rFonts w:cs="Arial"/>
          <w:spacing w:val="-14"/>
          <w:w w:val="80"/>
          <w:kern w:val="48"/>
        </w:rPr>
        <w:t xml:space="preserve">      </w:t>
      </w:r>
      <w:r w:rsidR="00850535" w:rsidRPr="00850535">
        <w:rPr>
          <w:rFonts w:cs="Arial"/>
          <w:bCs/>
          <w:spacing w:val="-14"/>
          <w:w w:val="80"/>
          <w:kern w:val="48"/>
        </w:rPr>
        <w:t xml:space="preserve">Στην Έκθεση του Ισπανού Ευρωβουλευτή κ. </w:t>
      </w:r>
      <w:r w:rsidR="00850535" w:rsidRPr="00850535">
        <w:rPr>
          <w:rFonts w:cs="Arial"/>
          <w:bCs/>
          <w:spacing w:val="-14"/>
          <w:w w:val="80"/>
          <w:kern w:val="48"/>
          <w:lang w:val="en-US"/>
        </w:rPr>
        <w:t>Javier</w:t>
      </w:r>
      <w:r w:rsidR="00850535" w:rsidRPr="00850535">
        <w:rPr>
          <w:rFonts w:cs="Arial"/>
          <w:bCs/>
          <w:spacing w:val="-14"/>
          <w:w w:val="80"/>
          <w:kern w:val="48"/>
        </w:rPr>
        <w:t xml:space="preserve"> </w:t>
      </w:r>
      <w:r w:rsidR="00850535" w:rsidRPr="00850535">
        <w:rPr>
          <w:rFonts w:cs="Arial"/>
          <w:bCs/>
          <w:spacing w:val="-14"/>
          <w:w w:val="80"/>
          <w:kern w:val="48"/>
          <w:lang w:val="en-US"/>
        </w:rPr>
        <w:t>Moreno</w:t>
      </w:r>
      <w:r w:rsidR="00850535" w:rsidRPr="00850535">
        <w:rPr>
          <w:rFonts w:cs="Arial"/>
          <w:bCs/>
          <w:spacing w:val="-14"/>
          <w:w w:val="80"/>
          <w:kern w:val="48"/>
        </w:rPr>
        <w:t xml:space="preserve"> </w:t>
      </w:r>
      <w:r w:rsidR="00850535" w:rsidRPr="00850535">
        <w:rPr>
          <w:rFonts w:cs="Arial"/>
          <w:bCs/>
          <w:spacing w:val="-14"/>
          <w:w w:val="80"/>
          <w:kern w:val="48"/>
          <w:lang w:val="en-US"/>
        </w:rPr>
        <w:t>S</w:t>
      </w:r>
      <w:r w:rsidR="00850535" w:rsidRPr="00850535">
        <w:rPr>
          <w:rFonts w:cs="Arial"/>
          <w:bCs/>
          <w:spacing w:val="-14"/>
          <w:w w:val="80"/>
          <w:kern w:val="48"/>
        </w:rPr>
        <w:t>á</w:t>
      </w:r>
      <w:proofErr w:type="spellStart"/>
      <w:r w:rsidR="00850535" w:rsidRPr="00850535">
        <w:rPr>
          <w:rFonts w:cs="Arial"/>
          <w:bCs/>
          <w:spacing w:val="-14"/>
          <w:w w:val="80"/>
          <w:kern w:val="48"/>
          <w:lang w:val="en-US"/>
        </w:rPr>
        <w:t>nchez</w:t>
      </w:r>
      <w:proofErr w:type="spellEnd"/>
      <w:r w:rsidR="00850535" w:rsidRPr="00850535">
        <w:rPr>
          <w:rFonts w:cs="Arial"/>
          <w:bCs/>
          <w:spacing w:val="-14"/>
          <w:w w:val="80"/>
          <w:kern w:val="48"/>
        </w:rPr>
        <w:t xml:space="preserve"> (S&amp;D) επισημαίνονται τα </w:t>
      </w:r>
      <w:proofErr w:type="gramStart"/>
      <w:r w:rsidR="00850535" w:rsidRPr="00850535">
        <w:rPr>
          <w:rFonts w:cs="Arial"/>
          <w:bCs/>
          <w:spacing w:val="-14"/>
          <w:w w:val="80"/>
          <w:kern w:val="48"/>
        </w:rPr>
        <w:t>εξής :</w:t>
      </w:r>
      <w:proofErr w:type="gramEnd"/>
    </w:p>
    <w:p w:rsidR="00194694" w:rsidRDefault="00850535" w:rsidP="00194694">
      <w:pPr>
        <w:numPr>
          <w:ilvl w:val="0"/>
          <w:numId w:val="62"/>
        </w:numPr>
        <w:spacing w:after="0" w:line="220" w:lineRule="exact"/>
        <w:ind w:left="284" w:hanging="11"/>
        <w:jc w:val="both"/>
        <w:outlineLvl w:val="0"/>
        <w:rPr>
          <w:rFonts w:cs="Arial"/>
          <w:bCs/>
          <w:spacing w:val="-14"/>
          <w:w w:val="80"/>
          <w:kern w:val="48"/>
        </w:rPr>
      </w:pPr>
      <w:r w:rsidRPr="00850535">
        <w:rPr>
          <w:rFonts w:cs="Arial"/>
          <w:bCs/>
          <w:spacing w:val="-14"/>
          <w:w w:val="80"/>
          <w:kern w:val="48"/>
        </w:rPr>
        <w:t xml:space="preserve">η επικύρωση της CETA από τα εναπομείναντα 10 κράτη-μέλη θα συνεισφέρει στη διασφάλιση υψηλών προτύπων για τα εργασιακά </w:t>
      </w:r>
      <w:r w:rsidR="00342C9E">
        <w:rPr>
          <w:rFonts w:cs="Arial"/>
          <w:bCs/>
          <w:spacing w:val="-14"/>
          <w:w w:val="80"/>
          <w:kern w:val="48"/>
        </w:rPr>
        <w:t>και τα περιβαλλοντικά δικαιώματα</w:t>
      </w:r>
      <w:r w:rsidRPr="00850535">
        <w:rPr>
          <w:rFonts w:cs="Arial"/>
          <w:bCs/>
          <w:spacing w:val="-14"/>
          <w:w w:val="80"/>
          <w:kern w:val="48"/>
        </w:rPr>
        <w:t xml:space="preserve"> μέσω της αναθεώρησης για το εμπόριο και τη βιώσιμη ανάπτυξη, </w:t>
      </w:r>
    </w:p>
    <w:p w:rsidR="00194694" w:rsidRDefault="00850535" w:rsidP="00194694">
      <w:pPr>
        <w:numPr>
          <w:ilvl w:val="0"/>
          <w:numId w:val="62"/>
        </w:numPr>
        <w:spacing w:after="0" w:line="220" w:lineRule="exact"/>
        <w:ind w:left="284" w:hanging="11"/>
        <w:jc w:val="both"/>
        <w:outlineLvl w:val="0"/>
        <w:rPr>
          <w:rFonts w:cs="Arial"/>
          <w:bCs/>
          <w:spacing w:val="-14"/>
          <w:w w:val="80"/>
          <w:kern w:val="48"/>
        </w:rPr>
      </w:pPr>
      <w:r w:rsidRPr="00194694">
        <w:rPr>
          <w:rFonts w:cs="Arial"/>
          <w:bCs/>
          <w:spacing w:val="-14"/>
          <w:w w:val="80"/>
          <w:kern w:val="48"/>
        </w:rPr>
        <w:t xml:space="preserve">έξι χρόνια, μετά την προσωρινή εφαρμογή της επιβεβαιώνεται ότι, έχει ενισχυθεί η σχέση </w:t>
      </w:r>
      <w:r w:rsidRPr="00194694">
        <w:rPr>
          <w:rFonts w:cs="Arial"/>
          <w:bCs/>
          <w:spacing w:val="-14"/>
          <w:w w:val="80"/>
          <w:kern w:val="48"/>
          <w:lang w:val="en-US"/>
        </w:rPr>
        <w:t>EE</w:t>
      </w:r>
      <w:r w:rsidRPr="00194694">
        <w:rPr>
          <w:rFonts w:cs="Arial"/>
          <w:bCs/>
          <w:spacing w:val="-14"/>
          <w:w w:val="80"/>
          <w:kern w:val="48"/>
        </w:rPr>
        <w:t>-Καναδά, η ύπαρξη δε</w:t>
      </w:r>
      <w:r w:rsidR="00342C9E" w:rsidRPr="00194694">
        <w:rPr>
          <w:rFonts w:cs="Arial"/>
          <w:bCs/>
          <w:spacing w:val="-14"/>
          <w:w w:val="80"/>
          <w:kern w:val="48"/>
        </w:rPr>
        <w:t>,</w:t>
      </w:r>
      <w:r w:rsidRPr="00194694">
        <w:rPr>
          <w:rFonts w:cs="Arial"/>
          <w:bCs/>
          <w:spacing w:val="-14"/>
          <w:w w:val="80"/>
          <w:kern w:val="48"/>
        </w:rPr>
        <w:t xml:space="preserve"> της συμφωνίας «βοήθησε στη διατήρηση εύρωστων αλυσίδων εφοδιασμού, γεγονός σημαντικό και για τις δύο οικονομίες»</w:t>
      </w:r>
      <w:r w:rsidR="00342C9E" w:rsidRPr="00194694">
        <w:rPr>
          <w:rFonts w:cs="Arial"/>
          <w:bCs/>
          <w:spacing w:val="-14"/>
          <w:w w:val="80"/>
          <w:kern w:val="48"/>
        </w:rPr>
        <w:t>,</w:t>
      </w:r>
      <w:r w:rsidRPr="00194694">
        <w:rPr>
          <w:rFonts w:cs="Arial"/>
          <w:bCs/>
          <w:spacing w:val="-14"/>
          <w:w w:val="80"/>
          <w:kern w:val="48"/>
        </w:rPr>
        <w:t xml:space="preserve"> </w:t>
      </w:r>
    </w:p>
    <w:p w:rsidR="00194694" w:rsidRDefault="00850535" w:rsidP="00850535">
      <w:pPr>
        <w:numPr>
          <w:ilvl w:val="0"/>
          <w:numId w:val="62"/>
        </w:numPr>
        <w:spacing w:after="0" w:line="220" w:lineRule="exact"/>
        <w:ind w:left="284" w:hanging="11"/>
        <w:jc w:val="both"/>
        <w:outlineLvl w:val="0"/>
        <w:rPr>
          <w:rFonts w:cs="Arial"/>
          <w:bCs/>
          <w:spacing w:val="-14"/>
          <w:w w:val="80"/>
          <w:kern w:val="48"/>
        </w:rPr>
      </w:pPr>
      <w:r w:rsidRPr="00194694">
        <w:rPr>
          <w:rFonts w:cs="Arial"/>
          <w:bCs/>
          <w:spacing w:val="-14"/>
          <w:w w:val="80"/>
          <w:kern w:val="48"/>
        </w:rPr>
        <w:t>«η συμφωνία</w:t>
      </w:r>
      <w:r w:rsidR="00342C9E" w:rsidRPr="00194694">
        <w:rPr>
          <w:rFonts w:cs="Arial"/>
          <w:bCs/>
          <w:spacing w:val="-14"/>
          <w:w w:val="80"/>
          <w:kern w:val="48"/>
        </w:rPr>
        <w:t>,</w:t>
      </w:r>
      <w:r w:rsidRPr="00194694">
        <w:rPr>
          <w:rFonts w:cs="Arial"/>
          <w:bCs/>
          <w:spacing w:val="-14"/>
          <w:w w:val="80"/>
          <w:kern w:val="48"/>
        </w:rPr>
        <w:t xml:space="preserve"> πέρα από το εμπόριο</w:t>
      </w:r>
      <w:r w:rsidR="00342C9E" w:rsidRPr="00194694">
        <w:rPr>
          <w:rFonts w:cs="Arial"/>
          <w:bCs/>
          <w:spacing w:val="-14"/>
          <w:w w:val="80"/>
          <w:kern w:val="48"/>
        </w:rPr>
        <w:t>,</w:t>
      </w:r>
      <w:r w:rsidRPr="00194694">
        <w:rPr>
          <w:rFonts w:cs="Arial"/>
          <w:bCs/>
          <w:spacing w:val="-14"/>
          <w:w w:val="80"/>
          <w:kern w:val="48"/>
        </w:rPr>
        <w:t xml:space="preserve"> ενισχύει τους πολιτικούς δεσμούς και προωθεί την ισότητα των φύλων και κλιματικούς στόχους».</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850535" w:rsidRPr="00194694">
        <w:rPr>
          <w:rFonts w:cs="Arial"/>
          <w:bCs/>
          <w:spacing w:val="-14"/>
          <w:w w:val="80"/>
          <w:kern w:val="48"/>
        </w:rPr>
        <w:t xml:space="preserve">Στην Έκθεση διατυπώνεται το αίτημα </w:t>
      </w:r>
      <w:r w:rsidR="00342C9E" w:rsidRPr="00194694">
        <w:rPr>
          <w:rFonts w:cs="Arial"/>
          <w:bCs/>
          <w:spacing w:val="-14"/>
          <w:w w:val="80"/>
          <w:kern w:val="48"/>
        </w:rPr>
        <w:t>της,</w:t>
      </w:r>
      <w:r w:rsidR="00850535" w:rsidRPr="00194694">
        <w:rPr>
          <w:rFonts w:cs="Arial"/>
          <w:bCs/>
          <w:spacing w:val="-14"/>
          <w:w w:val="80"/>
          <w:kern w:val="48"/>
        </w:rPr>
        <w:t xml:space="preserve"> κατά το συντομότερο δυνατόν</w:t>
      </w:r>
      <w:r w:rsidR="00342C9E" w:rsidRPr="00194694">
        <w:rPr>
          <w:rFonts w:cs="Arial"/>
          <w:bCs/>
          <w:spacing w:val="-14"/>
          <w:w w:val="80"/>
          <w:kern w:val="48"/>
        </w:rPr>
        <w:t>,</w:t>
      </w:r>
      <w:r w:rsidR="00850535" w:rsidRPr="00194694">
        <w:rPr>
          <w:rFonts w:cs="Arial"/>
          <w:bCs/>
          <w:spacing w:val="-14"/>
          <w:w w:val="80"/>
          <w:kern w:val="48"/>
        </w:rPr>
        <w:t xml:space="preserve"> επικύρωσης της CETA από τα 10 κράτη-μέλη, ώστε «να μπορέσουμε να εργαστούμε περαιτέρω με τους Καναδούς εταίρους μας για την αντιμετώπιση προκλήσεων του αύριο και ιδιαίτερα την εφαρμογή των υψηλότερων προτύπων για κλίμα, περιβάλλον και εργασιακά δικαιώματα. </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850535" w:rsidRPr="00850535">
        <w:rPr>
          <w:rFonts w:cs="Arial"/>
          <w:bCs/>
          <w:spacing w:val="-14"/>
          <w:w w:val="80"/>
          <w:kern w:val="48"/>
        </w:rPr>
        <w:t>Από πλευράς μας, υπενθυμίζουμε ότι η σχετική συμφωνία είχε καταψηφισθεί από την κ/ Βουλή, κυρίως, διότι θεωρείτ</w:t>
      </w:r>
      <w:r w:rsidR="00342C9E">
        <w:rPr>
          <w:rFonts w:cs="Arial"/>
          <w:bCs/>
          <w:spacing w:val="-14"/>
          <w:w w:val="80"/>
          <w:kern w:val="48"/>
        </w:rPr>
        <w:t>αι ότι το κ/</w:t>
      </w:r>
      <w:r w:rsidR="00850535" w:rsidRPr="00850535">
        <w:rPr>
          <w:rFonts w:cs="Arial"/>
          <w:bCs/>
          <w:spacing w:val="-14"/>
          <w:w w:val="80"/>
          <w:kern w:val="48"/>
        </w:rPr>
        <w:t xml:space="preserve">τυρί </w:t>
      </w:r>
      <w:proofErr w:type="spellStart"/>
      <w:r w:rsidR="00850535" w:rsidRPr="00850535">
        <w:rPr>
          <w:rFonts w:cs="Arial"/>
          <w:bCs/>
          <w:spacing w:val="-14"/>
          <w:w w:val="80"/>
          <w:kern w:val="48"/>
        </w:rPr>
        <w:t>Χαλλούμι</w:t>
      </w:r>
      <w:proofErr w:type="spellEnd"/>
      <w:r w:rsidR="00850535" w:rsidRPr="00850535">
        <w:rPr>
          <w:rFonts w:cs="Arial"/>
          <w:bCs/>
          <w:spacing w:val="-14"/>
          <w:w w:val="80"/>
          <w:kern w:val="48"/>
        </w:rPr>
        <w:t>, προϊόν ΠΟ</w:t>
      </w:r>
      <w:r w:rsidR="00342C9E">
        <w:rPr>
          <w:rFonts w:cs="Arial"/>
          <w:bCs/>
          <w:spacing w:val="-14"/>
          <w:w w:val="80"/>
          <w:kern w:val="48"/>
        </w:rPr>
        <w:t>Π, με σημαντική συμβολή στις κ/εξαγωγές καθώς και άλλα κ/</w:t>
      </w:r>
      <w:r w:rsidR="00850535" w:rsidRPr="00850535">
        <w:rPr>
          <w:rFonts w:cs="Arial"/>
          <w:bCs/>
          <w:spacing w:val="-14"/>
          <w:w w:val="80"/>
          <w:kern w:val="48"/>
        </w:rPr>
        <w:t xml:space="preserve">γεωργικά προϊόντα δεν προστατεύονται επαρκώς, ενώ επιφυλάξεις διατυπώθηκαν και για επιπτώσεις στο περιβάλλον, διότι η εν λόγω συμφωνία προώθησε την παραγωγή γενετικά </w:t>
      </w:r>
      <w:r w:rsidR="00850535" w:rsidRPr="00850535">
        <w:rPr>
          <w:rFonts w:cs="Arial"/>
          <w:bCs/>
          <w:spacing w:val="-14"/>
          <w:w w:val="80"/>
          <w:kern w:val="48"/>
        </w:rPr>
        <w:lastRenderedPageBreak/>
        <w:t>τροποποιημένων τροφίμων. Η Κύπρος επιθυμεί να διαπραγματευθεί</w:t>
      </w:r>
      <w:r w:rsidR="00342C9E">
        <w:rPr>
          <w:rFonts w:cs="Arial"/>
          <w:bCs/>
          <w:spacing w:val="-14"/>
          <w:w w:val="80"/>
          <w:kern w:val="48"/>
        </w:rPr>
        <w:t xml:space="preserve"> ορισμένες εξαιρέσεις για τα κ/</w:t>
      </w:r>
      <w:r w:rsidR="00850535" w:rsidRPr="00850535">
        <w:rPr>
          <w:rFonts w:cs="Arial"/>
          <w:bCs/>
          <w:spacing w:val="-14"/>
          <w:w w:val="80"/>
          <w:kern w:val="48"/>
        </w:rPr>
        <w:t>προϊόντα, πριν η συμφωνία υποβληθεί, εκ νέου, στη Βουλή των Αντιπροσώπων για έγκρ</w:t>
      </w:r>
      <w:r w:rsidR="00850535">
        <w:rPr>
          <w:rFonts w:cs="Arial"/>
          <w:bCs/>
          <w:spacing w:val="-14"/>
          <w:w w:val="80"/>
          <w:kern w:val="48"/>
        </w:rPr>
        <w:t>ιση</w:t>
      </w:r>
      <w:r w:rsidR="00342C9E">
        <w:rPr>
          <w:rFonts w:cs="Arial"/>
          <w:bCs/>
          <w:spacing w:val="-14"/>
          <w:w w:val="80"/>
          <w:kern w:val="48"/>
        </w:rPr>
        <w:t>.</w:t>
      </w:r>
    </w:p>
    <w:p w:rsidR="00194694" w:rsidRDefault="00194694" w:rsidP="00194694">
      <w:pPr>
        <w:spacing w:after="0" w:line="220" w:lineRule="exact"/>
        <w:ind w:left="284"/>
        <w:jc w:val="both"/>
        <w:outlineLvl w:val="0"/>
        <w:rPr>
          <w:rFonts w:cs="Arial"/>
          <w:bCs/>
          <w:spacing w:val="-14"/>
          <w:w w:val="80"/>
          <w:kern w:val="48"/>
        </w:rPr>
      </w:pPr>
    </w:p>
    <w:p w:rsidR="00194694" w:rsidRDefault="00797B99" w:rsidP="00194694">
      <w:pPr>
        <w:spacing w:after="0" w:line="220" w:lineRule="exact"/>
        <w:ind w:left="284"/>
        <w:jc w:val="both"/>
        <w:outlineLvl w:val="0"/>
        <w:rPr>
          <w:rFonts w:cs="Arial"/>
          <w:bCs/>
          <w:spacing w:val="-14"/>
          <w:w w:val="80"/>
          <w:kern w:val="48"/>
        </w:rPr>
      </w:pPr>
      <w:r w:rsidRPr="00A36633">
        <w:rPr>
          <w:rFonts w:cs="Arial"/>
          <w:b/>
          <w:bCs/>
          <w:color w:val="0070C0"/>
          <w:spacing w:val="-14"/>
          <w:w w:val="80"/>
          <w:kern w:val="48"/>
        </w:rPr>
        <w:t xml:space="preserve">9. </w:t>
      </w:r>
      <w:r w:rsidR="003D63DB" w:rsidRPr="00A36633">
        <w:rPr>
          <w:rFonts w:cs="Arial"/>
          <w:b/>
          <w:bCs/>
          <w:color w:val="0070C0"/>
          <w:spacing w:val="-14"/>
          <w:w w:val="80"/>
          <w:kern w:val="48"/>
        </w:rPr>
        <w:t>ΔΙΕΘΝΕΣ ΕΜΠΟΡΙΟ -</w:t>
      </w:r>
      <w:r w:rsidR="00B77D7A">
        <w:rPr>
          <w:rFonts w:cs="Arial"/>
          <w:b/>
          <w:bCs/>
          <w:color w:val="0070C0"/>
          <w:spacing w:val="-14"/>
          <w:w w:val="80"/>
          <w:kern w:val="48"/>
        </w:rPr>
        <w:t xml:space="preserve"> </w:t>
      </w:r>
      <w:r w:rsidR="003D63DB" w:rsidRPr="00A36633">
        <w:rPr>
          <w:rFonts w:cs="Arial"/>
          <w:b/>
          <w:bCs/>
          <w:color w:val="0070C0"/>
          <w:spacing w:val="-14"/>
          <w:w w:val="80"/>
          <w:kern w:val="48"/>
        </w:rPr>
        <w:t xml:space="preserve"> ΚΥΡΩΣΕΙΣ</w:t>
      </w:r>
    </w:p>
    <w:p w:rsidR="00194694" w:rsidRDefault="00194694" w:rsidP="00194694">
      <w:pPr>
        <w:spacing w:after="0" w:line="220" w:lineRule="exact"/>
        <w:ind w:left="284"/>
        <w:jc w:val="both"/>
        <w:outlineLvl w:val="0"/>
        <w:rPr>
          <w:rFonts w:cs="Arial"/>
          <w:bCs/>
          <w:spacing w:val="-14"/>
          <w:w w:val="80"/>
          <w:kern w:val="48"/>
        </w:rPr>
      </w:pPr>
    </w:p>
    <w:p w:rsidR="00194694" w:rsidRDefault="00821EDF" w:rsidP="00194694">
      <w:pPr>
        <w:spacing w:after="0" w:line="220" w:lineRule="exact"/>
        <w:ind w:left="284"/>
        <w:jc w:val="both"/>
        <w:outlineLvl w:val="0"/>
        <w:rPr>
          <w:rFonts w:cs="Arial"/>
          <w:bCs/>
          <w:spacing w:val="-14"/>
          <w:w w:val="80"/>
          <w:kern w:val="48"/>
        </w:rPr>
      </w:pPr>
      <w:r w:rsidRPr="00A36633">
        <w:rPr>
          <w:rFonts w:cs="Arial"/>
          <w:b/>
          <w:bCs/>
          <w:color w:val="0070C0"/>
          <w:spacing w:val="-14"/>
          <w:w w:val="80"/>
          <w:kern w:val="48"/>
        </w:rPr>
        <w:t xml:space="preserve">9.1 </w:t>
      </w:r>
      <w:r w:rsidR="009363C7" w:rsidRPr="00A36633">
        <w:rPr>
          <w:rFonts w:cs="Arial"/>
          <w:b/>
          <w:bCs/>
          <w:color w:val="0070C0"/>
          <w:spacing w:val="-14"/>
          <w:w w:val="80"/>
          <w:kern w:val="48"/>
        </w:rPr>
        <w:t xml:space="preserve"> Α</w:t>
      </w:r>
      <w:r w:rsidR="00EE4CFC" w:rsidRPr="00A36633">
        <w:rPr>
          <w:rFonts w:cs="Arial"/>
          <w:b/>
          <w:bCs/>
          <w:color w:val="0070C0"/>
          <w:spacing w:val="-14"/>
          <w:w w:val="80"/>
          <w:kern w:val="48"/>
        </w:rPr>
        <w:t>ύξηση ελλείμματος εμπορικού ισοζυγίου της Κύπρου το 2023</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EE4CFC" w:rsidRPr="00A36633">
        <w:rPr>
          <w:rFonts w:cs="Arial"/>
          <w:bCs/>
          <w:spacing w:val="-14"/>
          <w:w w:val="80"/>
          <w:kern w:val="48"/>
        </w:rPr>
        <w:t xml:space="preserve"> Στα 8,5 δισεκατομμύρια Ευρώ ανήλθε το έλλειμμα του εμπορικού ισοζυγίου της Κύπρου</w:t>
      </w:r>
      <w:r w:rsidR="00342C9E">
        <w:rPr>
          <w:rFonts w:cs="Arial"/>
          <w:bCs/>
          <w:spacing w:val="-14"/>
          <w:w w:val="80"/>
          <w:kern w:val="48"/>
        </w:rPr>
        <w:t>,</w:t>
      </w:r>
      <w:r w:rsidR="00EE4CFC" w:rsidRPr="00A36633">
        <w:rPr>
          <w:rFonts w:cs="Arial"/>
          <w:bCs/>
          <w:spacing w:val="-14"/>
          <w:w w:val="80"/>
          <w:kern w:val="48"/>
        </w:rPr>
        <w:t xml:space="preserve"> το 2023, παρουσιάζοντας άνοδο</w:t>
      </w:r>
      <w:r w:rsidR="00342C9E">
        <w:rPr>
          <w:rFonts w:cs="Arial"/>
          <w:bCs/>
          <w:spacing w:val="-14"/>
          <w:w w:val="80"/>
          <w:kern w:val="48"/>
        </w:rPr>
        <w:t>,</w:t>
      </w:r>
      <w:r w:rsidR="00EE4CFC" w:rsidRPr="00A36633">
        <w:rPr>
          <w:rFonts w:cs="Arial"/>
          <w:bCs/>
          <w:spacing w:val="-14"/>
          <w:w w:val="80"/>
          <w:kern w:val="48"/>
        </w:rPr>
        <w:t xml:space="preserve"> 18%</w:t>
      </w:r>
      <w:r w:rsidR="00342C9E">
        <w:rPr>
          <w:rFonts w:cs="Arial"/>
          <w:bCs/>
          <w:spacing w:val="-14"/>
          <w:w w:val="80"/>
          <w:kern w:val="48"/>
        </w:rPr>
        <w:t>,</w:t>
      </w:r>
      <w:r w:rsidR="00EE4CFC" w:rsidRPr="00A36633">
        <w:rPr>
          <w:rFonts w:cs="Arial"/>
          <w:bCs/>
          <w:spacing w:val="-14"/>
          <w:w w:val="80"/>
          <w:kern w:val="48"/>
        </w:rPr>
        <w:t xml:space="preserve"> σε ετήσια βάση, σύμφωνα με προσφάτως δημοσιευθέντα σ</w:t>
      </w:r>
      <w:r w:rsidR="00342C9E">
        <w:rPr>
          <w:rFonts w:cs="Arial"/>
          <w:bCs/>
          <w:spacing w:val="-14"/>
          <w:w w:val="80"/>
          <w:kern w:val="48"/>
        </w:rPr>
        <w:t>τοιχεία, που δημοσιοποίησε η κ/</w:t>
      </w:r>
      <w:r w:rsidR="00EE4CFC" w:rsidRPr="00A36633">
        <w:rPr>
          <w:rFonts w:cs="Arial"/>
          <w:bCs/>
          <w:spacing w:val="-14"/>
          <w:w w:val="80"/>
          <w:kern w:val="48"/>
        </w:rPr>
        <w:t>Στατιστική Υπηρεσία.</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EE4CFC" w:rsidRPr="00A36633">
        <w:rPr>
          <w:rFonts w:cs="Arial"/>
          <w:bCs/>
          <w:spacing w:val="-14"/>
          <w:w w:val="80"/>
          <w:kern w:val="48"/>
        </w:rPr>
        <w:t>Ειδικότερα, οι συνολικές εισαγωγές αγαθών για την περίοδο Ιανουαρίου - Δεκεμβρίου 2023 ανήλθαν σε  12.764,2 εκ. Ευρώ, σε σύγκριση με 11.470 εκ. Ευρώ</w:t>
      </w:r>
      <w:r w:rsidR="00342C9E">
        <w:rPr>
          <w:rFonts w:cs="Arial"/>
          <w:bCs/>
          <w:spacing w:val="-14"/>
          <w:w w:val="80"/>
          <w:kern w:val="48"/>
        </w:rPr>
        <w:t>,</w:t>
      </w:r>
      <w:r w:rsidR="00EE4CFC" w:rsidRPr="00A36633">
        <w:rPr>
          <w:rFonts w:cs="Arial"/>
          <w:bCs/>
          <w:spacing w:val="-14"/>
          <w:w w:val="80"/>
          <w:kern w:val="48"/>
        </w:rPr>
        <w:t xml:space="preserve"> για την περίοδο Ιανουαρίου - Δεκεμβρίου 2022, σημειώνοντας αύξηση</w:t>
      </w:r>
      <w:r w:rsidR="00342C9E">
        <w:rPr>
          <w:rFonts w:cs="Arial"/>
          <w:bCs/>
          <w:spacing w:val="-14"/>
          <w:w w:val="80"/>
          <w:kern w:val="48"/>
        </w:rPr>
        <w:t>,</w:t>
      </w:r>
      <w:r w:rsidR="00EE4CFC" w:rsidRPr="00A36633">
        <w:rPr>
          <w:rFonts w:cs="Arial"/>
          <w:bCs/>
          <w:spacing w:val="-14"/>
          <w:w w:val="80"/>
          <w:kern w:val="48"/>
        </w:rPr>
        <w:t xml:space="preserve"> 11,3%. Οι συνολικές εξαγωγές αγαθών</w:t>
      </w:r>
      <w:r w:rsidR="00342C9E">
        <w:rPr>
          <w:rFonts w:cs="Arial"/>
          <w:bCs/>
          <w:spacing w:val="-14"/>
          <w:w w:val="80"/>
          <w:kern w:val="48"/>
        </w:rPr>
        <w:t>,</w:t>
      </w:r>
      <w:r w:rsidR="00EE4CFC" w:rsidRPr="00A36633">
        <w:rPr>
          <w:rFonts w:cs="Arial"/>
          <w:bCs/>
          <w:spacing w:val="-14"/>
          <w:w w:val="80"/>
          <w:kern w:val="48"/>
        </w:rPr>
        <w:t xml:space="preserve"> για την περίοδο Ιανουαρίου - Δεκεμβρίου 2023</w:t>
      </w:r>
      <w:r w:rsidR="00342C9E">
        <w:rPr>
          <w:rFonts w:cs="Arial"/>
          <w:bCs/>
          <w:spacing w:val="-14"/>
          <w:w w:val="80"/>
          <w:kern w:val="48"/>
        </w:rPr>
        <w:t>,</w:t>
      </w:r>
      <w:r w:rsidR="00EE4CFC" w:rsidRPr="00A36633">
        <w:rPr>
          <w:rFonts w:cs="Arial"/>
          <w:bCs/>
          <w:spacing w:val="-14"/>
          <w:w w:val="80"/>
          <w:kern w:val="48"/>
        </w:rPr>
        <w:t xml:space="preserve"> ήταν 4.189,5 εκ. Ευρώ σε σύγκριση με 4.208,8 εκ. Ευρώ</w:t>
      </w:r>
      <w:r w:rsidR="0021642C">
        <w:rPr>
          <w:rFonts w:cs="Arial"/>
          <w:bCs/>
          <w:spacing w:val="-14"/>
          <w:w w:val="80"/>
          <w:kern w:val="48"/>
        </w:rPr>
        <w:t>,</w:t>
      </w:r>
      <w:r w:rsidR="00EE4CFC" w:rsidRPr="00A36633">
        <w:rPr>
          <w:rFonts w:cs="Arial"/>
          <w:bCs/>
          <w:spacing w:val="-14"/>
          <w:w w:val="80"/>
          <w:kern w:val="48"/>
        </w:rPr>
        <w:t xml:space="preserve"> για την ίδια περίοδο του 2022, σημειώνοντας μείωση 0,5%. </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EE4CFC" w:rsidRPr="00A36633">
        <w:rPr>
          <w:rFonts w:cs="Arial"/>
          <w:bCs/>
          <w:spacing w:val="-14"/>
          <w:w w:val="80"/>
          <w:kern w:val="48"/>
        </w:rPr>
        <w:t>Το έλλειμμα του εμπορικού ισοζυγίου διαμορφώθηκε στα 8.574,7 εκ. Ευρώ, για την περίοδο Ιανουαρίου-Δεκεμβρίου 2023</w:t>
      </w:r>
      <w:r w:rsidR="0021642C">
        <w:rPr>
          <w:rFonts w:cs="Arial"/>
          <w:bCs/>
          <w:spacing w:val="-14"/>
          <w:w w:val="80"/>
          <w:kern w:val="48"/>
        </w:rPr>
        <w:t>,</w:t>
      </w:r>
      <w:r w:rsidR="00EE4CFC" w:rsidRPr="00A36633">
        <w:rPr>
          <w:rFonts w:cs="Arial"/>
          <w:bCs/>
          <w:spacing w:val="-14"/>
          <w:w w:val="80"/>
          <w:kern w:val="48"/>
        </w:rPr>
        <w:t xml:space="preserve"> σε σύγκριση με 7.261,2 εκ. Ευρώ</w:t>
      </w:r>
      <w:r w:rsidR="0021642C">
        <w:rPr>
          <w:rFonts w:cs="Arial"/>
          <w:bCs/>
          <w:spacing w:val="-14"/>
          <w:w w:val="80"/>
          <w:kern w:val="48"/>
        </w:rPr>
        <w:t>,</w:t>
      </w:r>
      <w:r w:rsidR="00EE4CFC" w:rsidRPr="00A36633">
        <w:rPr>
          <w:rFonts w:cs="Arial"/>
          <w:bCs/>
          <w:spacing w:val="-14"/>
          <w:w w:val="80"/>
          <w:kern w:val="48"/>
        </w:rPr>
        <w:t xml:space="preserve"> την αντίστοιχη περίοδο του 2022. Εξάλλου, οι συνολικές εισαγωγές αγαθών</w:t>
      </w:r>
      <w:r w:rsidR="0021642C">
        <w:rPr>
          <w:rFonts w:cs="Arial"/>
          <w:bCs/>
          <w:spacing w:val="-14"/>
          <w:w w:val="80"/>
          <w:kern w:val="48"/>
        </w:rPr>
        <w:t>,</w:t>
      </w:r>
      <w:r w:rsidR="00EE4CFC" w:rsidRPr="00A36633">
        <w:rPr>
          <w:rFonts w:cs="Arial"/>
          <w:bCs/>
          <w:spacing w:val="-14"/>
          <w:w w:val="80"/>
          <w:kern w:val="48"/>
        </w:rPr>
        <w:t xml:space="preserve"> τον Δεκέμβριο 2023, ήταν 845,3 εκ. Ευρώ</w:t>
      </w:r>
      <w:r w:rsidR="0021642C">
        <w:rPr>
          <w:rFonts w:cs="Arial"/>
          <w:bCs/>
          <w:spacing w:val="-14"/>
          <w:w w:val="80"/>
          <w:kern w:val="48"/>
        </w:rPr>
        <w:t>,</w:t>
      </w:r>
      <w:r w:rsidR="00EE4CFC" w:rsidRPr="00A36633">
        <w:rPr>
          <w:rFonts w:cs="Arial"/>
          <w:bCs/>
          <w:spacing w:val="-14"/>
          <w:w w:val="80"/>
          <w:kern w:val="48"/>
        </w:rPr>
        <w:t xml:space="preserve"> σε</w:t>
      </w:r>
      <w:r w:rsidR="0021642C">
        <w:rPr>
          <w:rFonts w:cs="Arial"/>
          <w:bCs/>
          <w:spacing w:val="-14"/>
          <w:w w:val="80"/>
          <w:kern w:val="48"/>
        </w:rPr>
        <w:t xml:space="preserve"> σύγκριση με 847,3 εκ. Ευρώ, το</w:t>
      </w:r>
      <w:r w:rsidR="00EE4CFC" w:rsidRPr="00A36633">
        <w:rPr>
          <w:rFonts w:cs="Arial"/>
          <w:bCs/>
          <w:spacing w:val="-14"/>
          <w:w w:val="80"/>
          <w:kern w:val="48"/>
        </w:rPr>
        <w:t xml:space="preserve"> Δεκέμβριο του 2022, καταγράφοντας μείωση</w:t>
      </w:r>
      <w:r w:rsidR="0021642C">
        <w:rPr>
          <w:rFonts w:cs="Arial"/>
          <w:bCs/>
          <w:spacing w:val="-14"/>
          <w:w w:val="80"/>
          <w:kern w:val="48"/>
        </w:rPr>
        <w:t>,</w:t>
      </w:r>
      <w:r w:rsidR="00EE4CFC" w:rsidRPr="00A36633">
        <w:rPr>
          <w:rFonts w:cs="Arial"/>
          <w:bCs/>
          <w:spacing w:val="-14"/>
          <w:w w:val="80"/>
          <w:kern w:val="48"/>
        </w:rPr>
        <w:t xml:space="preserve"> 0,2%. Οι εισαγωγές από άλλα κράτη-μέλη της ΕΕ ήταν 563,6 εκ. Ευρώ και από τρίτες χώρες 281,7 εκ. Ευρώ σε σύγκριση με 547,4 εκ. Ευρώ και 299,9 εκ. Ευρώ</w:t>
      </w:r>
      <w:r w:rsidR="0021642C">
        <w:rPr>
          <w:rFonts w:cs="Arial"/>
          <w:bCs/>
          <w:spacing w:val="-14"/>
          <w:w w:val="80"/>
          <w:kern w:val="48"/>
        </w:rPr>
        <w:t>,</w:t>
      </w:r>
      <w:r w:rsidR="00EE4CFC" w:rsidRPr="00A36633">
        <w:rPr>
          <w:rFonts w:cs="Arial"/>
          <w:bCs/>
          <w:spacing w:val="-14"/>
          <w:w w:val="80"/>
          <w:kern w:val="48"/>
        </w:rPr>
        <w:t xml:space="preserve"> αντίστοιχα</w:t>
      </w:r>
      <w:r w:rsidR="0021642C">
        <w:rPr>
          <w:rFonts w:cs="Arial"/>
          <w:bCs/>
          <w:spacing w:val="-14"/>
          <w:w w:val="80"/>
          <w:kern w:val="48"/>
        </w:rPr>
        <w:t>,</w:t>
      </w:r>
      <w:r w:rsidR="00EE4CFC" w:rsidRPr="00A36633">
        <w:rPr>
          <w:rFonts w:cs="Arial"/>
          <w:bCs/>
          <w:spacing w:val="-14"/>
          <w:w w:val="80"/>
          <w:kern w:val="48"/>
        </w:rPr>
        <w:t xml:space="preserve"> τον Δεκέμβριο του 2022. Σύμφωνα με τη </w:t>
      </w:r>
      <w:proofErr w:type="spellStart"/>
      <w:r w:rsidR="00EE4CFC" w:rsidRPr="00A36633">
        <w:rPr>
          <w:rFonts w:cs="Arial"/>
          <w:bCs/>
          <w:spacing w:val="-14"/>
          <w:w w:val="80"/>
          <w:kern w:val="48"/>
        </w:rPr>
        <w:t>Cystat</w:t>
      </w:r>
      <w:proofErr w:type="spellEnd"/>
      <w:r w:rsidR="00EE4CFC" w:rsidRPr="00A36633">
        <w:rPr>
          <w:rFonts w:cs="Arial"/>
          <w:bCs/>
          <w:spacing w:val="-14"/>
          <w:w w:val="80"/>
          <w:kern w:val="48"/>
        </w:rPr>
        <w:t>, οι εισαγωγές</w:t>
      </w:r>
      <w:r w:rsidR="0021642C">
        <w:rPr>
          <w:rFonts w:cs="Arial"/>
          <w:bCs/>
          <w:spacing w:val="-14"/>
          <w:w w:val="80"/>
          <w:kern w:val="48"/>
        </w:rPr>
        <w:t>,</w:t>
      </w:r>
      <w:r w:rsidR="00EE4CFC" w:rsidRPr="00A36633">
        <w:rPr>
          <w:rFonts w:cs="Arial"/>
          <w:bCs/>
          <w:spacing w:val="-14"/>
          <w:w w:val="80"/>
          <w:kern w:val="48"/>
        </w:rPr>
        <w:t xml:space="preserve"> τον Δεκέμβριο του 2023</w:t>
      </w:r>
      <w:r w:rsidR="0021642C">
        <w:rPr>
          <w:rFonts w:cs="Arial"/>
          <w:bCs/>
          <w:spacing w:val="-14"/>
          <w:w w:val="80"/>
          <w:kern w:val="48"/>
        </w:rPr>
        <w:t>,</w:t>
      </w:r>
      <w:r w:rsidR="00EE4CFC" w:rsidRPr="00A36633">
        <w:rPr>
          <w:rFonts w:cs="Arial"/>
          <w:bCs/>
          <w:spacing w:val="-14"/>
          <w:w w:val="80"/>
          <w:kern w:val="48"/>
        </w:rPr>
        <w:t xml:space="preserve"> περιλαμβάνουν τη μεταβίβαση οικονομικής ιδιοκτησίας κινητού εξοπλισμού μεταφορών</w:t>
      </w:r>
      <w:r w:rsidR="0021642C">
        <w:rPr>
          <w:rFonts w:cs="Arial"/>
          <w:bCs/>
          <w:spacing w:val="-14"/>
          <w:w w:val="80"/>
          <w:kern w:val="48"/>
        </w:rPr>
        <w:t>,</w:t>
      </w:r>
      <w:r w:rsidR="00EE4CFC" w:rsidRPr="00A36633">
        <w:rPr>
          <w:rFonts w:cs="Arial"/>
          <w:bCs/>
          <w:spacing w:val="-14"/>
          <w:w w:val="80"/>
          <w:kern w:val="48"/>
        </w:rPr>
        <w:t xml:space="preserve"> συνολικής αξίας 3,8 εκ. Ευρώ</w:t>
      </w:r>
      <w:r w:rsidR="0021642C">
        <w:rPr>
          <w:rFonts w:cs="Arial"/>
          <w:bCs/>
          <w:spacing w:val="-14"/>
          <w:w w:val="80"/>
          <w:kern w:val="48"/>
        </w:rPr>
        <w:t>,</w:t>
      </w:r>
      <w:r w:rsidR="00EE4CFC" w:rsidRPr="00A36633">
        <w:rPr>
          <w:rFonts w:cs="Arial"/>
          <w:bCs/>
          <w:spacing w:val="-14"/>
          <w:w w:val="80"/>
          <w:kern w:val="48"/>
        </w:rPr>
        <w:t xml:space="preserve"> έναντι 81,7 εκ. Ευρώ </w:t>
      </w:r>
      <w:r w:rsidR="0021642C">
        <w:rPr>
          <w:rFonts w:cs="Arial"/>
          <w:bCs/>
          <w:spacing w:val="-14"/>
          <w:w w:val="80"/>
          <w:kern w:val="48"/>
        </w:rPr>
        <w:t>,</w:t>
      </w:r>
      <w:r w:rsidR="00EE4CFC" w:rsidRPr="00A36633">
        <w:rPr>
          <w:rFonts w:cs="Arial"/>
          <w:bCs/>
          <w:spacing w:val="-14"/>
          <w:w w:val="80"/>
          <w:kern w:val="48"/>
        </w:rPr>
        <w:t>τον Δεκέμβριο 2022.</w:t>
      </w:r>
    </w:p>
    <w:p w:rsidR="00194694" w:rsidRDefault="00194694" w:rsidP="00194694">
      <w:pPr>
        <w:spacing w:after="0" w:line="220" w:lineRule="exact"/>
        <w:ind w:left="284"/>
        <w:jc w:val="both"/>
        <w:outlineLvl w:val="0"/>
        <w:rPr>
          <w:rFonts w:cs="Arial"/>
          <w:bCs/>
          <w:spacing w:val="-14"/>
          <w:w w:val="80"/>
          <w:kern w:val="48"/>
        </w:rPr>
      </w:pPr>
    </w:p>
    <w:p w:rsidR="00194694" w:rsidRDefault="00D24924" w:rsidP="00194694">
      <w:pPr>
        <w:spacing w:after="0" w:line="220" w:lineRule="exact"/>
        <w:ind w:left="284"/>
        <w:jc w:val="both"/>
        <w:outlineLvl w:val="0"/>
        <w:rPr>
          <w:rFonts w:cs="Arial"/>
          <w:bCs/>
          <w:spacing w:val="-14"/>
          <w:w w:val="80"/>
          <w:kern w:val="48"/>
        </w:rPr>
      </w:pPr>
      <w:r w:rsidRPr="0021642C">
        <w:rPr>
          <w:rFonts w:cs="Arial"/>
          <w:b/>
          <w:color w:val="0070C0"/>
          <w:spacing w:val="-14"/>
          <w:w w:val="80"/>
        </w:rPr>
        <w:t>9.</w:t>
      </w:r>
      <w:r w:rsidR="00850535" w:rsidRPr="0021642C">
        <w:rPr>
          <w:rFonts w:cs="Arial"/>
          <w:b/>
          <w:color w:val="0070C0"/>
          <w:spacing w:val="-14"/>
          <w:w w:val="80"/>
        </w:rPr>
        <w:t xml:space="preserve">2 </w:t>
      </w:r>
      <w:r w:rsidR="00B77D7A" w:rsidRPr="0021642C">
        <w:rPr>
          <w:rFonts w:cs="Arial"/>
          <w:b/>
          <w:color w:val="0070C0"/>
          <w:spacing w:val="-14"/>
          <w:w w:val="80"/>
        </w:rPr>
        <w:t xml:space="preserve"> </w:t>
      </w:r>
      <w:r w:rsidR="00850535" w:rsidRPr="0021642C">
        <w:rPr>
          <w:rFonts w:cs="Arial"/>
          <w:b/>
          <w:color w:val="0070C0"/>
          <w:spacing w:val="-14"/>
          <w:w w:val="80"/>
        </w:rPr>
        <w:t>Νέες</w:t>
      </w:r>
      <w:r w:rsidR="00850535" w:rsidRPr="00850535">
        <w:rPr>
          <w:rFonts w:cs="Arial"/>
          <w:b/>
          <w:color w:val="0070C0"/>
          <w:spacing w:val="-14"/>
          <w:w w:val="80"/>
        </w:rPr>
        <w:t xml:space="preserve"> αμερικανικές κυρώσεις. Συμπεριλαμβάνεται εταιρεία με έδρα την Κύπρο</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850535" w:rsidRPr="00850535">
        <w:rPr>
          <w:rFonts w:cs="Arial"/>
          <w:bCs/>
          <w:spacing w:val="-14"/>
          <w:w w:val="80"/>
        </w:rPr>
        <w:t>Το Γραφείο Ελέγχου Αλλοδαπών Περιουσιακών Στοιχείων του Υπουργείου Οικονομικών των ΗΠΑ (OFAC) επέβαλε</w:t>
      </w:r>
      <w:r w:rsidR="0021642C">
        <w:rPr>
          <w:rFonts w:cs="Arial"/>
          <w:bCs/>
          <w:spacing w:val="-14"/>
          <w:w w:val="80"/>
        </w:rPr>
        <w:t>,</w:t>
      </w:r>
      <w:r w:rsidR="00850535" w:rsidRPr="00850535">
        <w:rPr>
          <w:rFonts w:cs="Arial"/>
          <w:bCs/>
          <w:spacing w:val="-14"/>
          <w:w w:val="80"/>
        </w:rPr>
        <w:t xml:space="preserve"> τη Δευτέρα 25.3. </w:t>
      </w:r>
      <w:proofErr w:type="spellStart"/>
      <w:r w:rsidR="00850535" w:rsidRPr="00850535">
        <w:rPr>
          <w:rFonts w:cs="Arial"/>
          <w:bCs/>
          <w:spacing w:val="-14"/>
          <w:w w:val="80"/>
        </w:rPr>
        <w:t>τ.έ</w:t>
      </w:r>
      <w:proofErr w:type="spellEnd"/>
      <w:r w:rsidR="00850535" w:rsidRPr="00850535">
        <w:rPr>
          <w:rFonts w:cs="Arial"/>
          <w:bCs/>
          <w:spacing w:val="-14"/>
          <w:w w:val="80"/>
        </w:rPr>
        <w:t>.</w:t>
      </w:r>
      <w:r w:rsidR="0021642C">
        <w:rPr>
          <w:rFonts w:cs="Arial"/>
          <w:bCs/>
          <w:spacing w:val="-14"/>
          <w:w w:val="80"/>
        </w:rPr>
        <w:t>,</w:t>
      </w:r>
      <w:r w:rsidR="00850535" w:rsidRPr="00850535">
        <w:rPr>
          <w:rFonts w:cs="Arial"/>
          <w:bCs/>
          <w:spacing w:val="-14"/>
          <w:w w:val="80"/>
        </w:rPr>
        <w:t xml:space="preserve"> κυρώσεις σε δεκατρία νομικά και δύο φυσικά πρόσωπα, μεταξύ των οποίων και σε μια εταιρεία με έδρα την Κύπρο, για δραστηριοποίηση της στους τομείς χρηματοοικονομικών υπηρεσιών και τεχνολογίας της ρωσικής οικονομίας, συμπεριλαμβανομένων προσώπων, που αναπτύσσουν ή προσφέρουν υπηρεσίες σε εικονικά περιουσιακά στοιχεία, επιτρέποντας την αποφυγή των κυρώσεων των ΗΠΑ.</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850535" w:rsidRPr="00850535">
        <w:rPr>
          <w:rFonts w:cs="Arial"/>
          <w:bCs/>
          <w:spacing w:val="-14"/>
          <w:w w:val="80"/>
        </w:rPr>
        <w:t>Σύμφωνα με τη σχετική ανακοίνωση του αμερικανικού Υπουργείου Οικονομικών, πέντε οντότητες συμπεριελήφθησαν στον κατάλογο, εξαιτίας του γεγονότος ότι ανήκουν ή ελέγχονται από πρόσωπα, τα οποία είχε συμπεριλάβει η OFAC σε προγενέστερους καταλόγους κυρώσεων. Η ανακοίνωση προσθέτει ότι πολλά από τα νομικά και φυσικά πρόσωπα διευκόλυναν συναλλαγές ή πρόσφεραν άλλες υπηρεσίες, οι οποίες βοήθησαν οντότητες, που είχαν καταχωρηθεί σε προγενέστερες λίστες κυρώσεων της OFAC να αποφύγουν τις κυρώσεις και ότι αυτό εντάσσεται στη δράση της OFAC της 23ης Φεβρουαρίου 2024</w:t>
      </w:r>
      <w:r w:rsidR="0021642C">
        <w:rPr>
          <w:rFonts w:cs="Arial"/>
          <w:bCs/>
          <w:spacing w:val="-14"/>
          <w:w w:val="80"/>
        </w:rPr>
        <w:t>,</w:t>
      </w:r>
      <w:r w:rsidR="00850535" w:rsidRPr="00850535">
        <w:rPr>
          <w:rFonts w:cs="Arial"/>
          <w:bCs/>
          <w:spacing w:val="-14"/>
          <w:w w:val="80"/>
        </w:rPr>
        <w:t xml:space="preserve"> </w:t>
      </w:r>
      <w:r w:rsidR="0021642C">
        <w:rPr>
          <w:rFonts w:cs="Arial"/>
          <w:bCs/>
          <w:spacing w:val="-14"/>
          <w:w w:val="80"/>
        </w:rPr>
        <w:t xml:space="preserve"> δηλ. </w:t>
      </w:r>
      <w:r w:rsidR="00850535" w:rsidRPr="00850535">
        <w:rPr>
          <w:rFonts w:cs="Arial"/>
          <w:bCs/>
          <w:spacing w:val="-14"/>
          <w:w w:val="80"/>
        </w:rPr>
        <w:t xml:space="preserve">να </w:t>
      </w:r>
      <w:proofErr w:type="spellStart"/>
      <w:r w:rsidR="00850535" w:rsidRPr="00850535">
        <w:rPr>
          <w:rFonts w:cs="Arial"/>
          <w:bCs/>
          <w:spacing w:val="-14"/>
          <w:w w:val="80"/>
        </w:rPr>
        <w:t>στοχευθούν</w:t>
      </w:r>
      <w:proofErr w:type="spellEnd"/>
      <w:r w:rsidR="00850535" w:rsidRPr="00850535">
        <w:rPr>
          <w:rFonts w:cs="Arial"/>
          <w:bCs/>
          <w:spacing w:val="-14"/>
          <w:w w:val="80"/>
        </w:rPr>
        <w:t xml:space="preserve"> εταιρείες, που εξυπηρετούν τη βασική χρηματοοικονομική υποδομή της Ρωσίας και να περιορίσουν τη χρήση του διεθνούς χρηματοπιστωτικού συστήματος από τη Ρωσία να προωθήσει τον πόλεμο</w:t>
      </w:r>
      <w:r w:rsidR="0021642C">
        <w:rPr>
          <w:rFonts w:cs="Arial"/>
          <w:bCs/>
          <w:spacing w:val="-14"/>
          <w:w w:val="80"/>
        </w:rPr>
        <w:t>,</w:t>
      </w:r>
      <w:r w:rsidR="00850535" w:rsidRPr="00850535">
        <w:rPr>
          <w:rFonts w:cs="Arial"/>
          <w:bCs/>
          <w:spacing w:val="-14"/>
          <w:w w:val="80"/>
        </w:rPr>
        <w:t xml:space="preserve"> κατά της Ουκρανίας. </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850535" w:rsidRPr="00850535">
        <w:rPr>
          <w:rFonts w:cs="Arial"/>
          <w:bCs/>
          <w:spacing w:val="-14"/>
          <w:w w:val="80"/>
        </w:rPr>
        <w:t xml:space="preserve">Η λίστα περιλαμβάνει την </w:t>
      </w:r>
      <w:proofErr w:type="spellStart"/>
      <w:r w:rsidR="00850535" w:rsidRPr="00850535">
        <w:rPr>
          <w:rFonts w:cs="Arial"/>
          <w:bCs/>
          <w:spacing w:val="-14"/>
          <w:w w:val="80"/>
        </w:rPr>
        <w:t>Tokentrust</w:t>
      </w:r>
      <w:proofErr w:type="spellEnd"/>
      <w:r w:rsidR="00850535" w:rsidRPr="00850535">
        <w:rPr>
          <w:rFonts w:cs="Arial"/>
          <w:bCs/>
          <w:spacing w:val="-14"/>
          <w:w w:val="80"/>
        </w:rPr>
        <w:t xml:space="preserve"> </w:t>
      </w:r>
      <w:proofErr w:type="spellStart"/>
      <w:r w:rsidR="00850535" w:rsidRPr="00850535">
        <w:rPr>
          <w:rFonts w:cs="Arial"/>
          <w:bCs/>
          <w:spacing w:val="-14"/>
          <w:w w:val="80"/>
        </w:rPr>
        <w:t>Holdings</w:t>
      </w:r>
      <w:proofErr w:type="spellEnd"/>
      <w:r w:rsidR="00850535" w:rsidRPr="00850535">
        <w:rPr>
          <w:rFonts w:cs="Arial"/>
          <w:bCs/>
          <w:spacing w:val="-14"/>
          <w:w w:val="80"/>
        </w:rPr>
        <w:t xml:space="preserve"> </w:t>
      </w:r>
      <w:proofErr w:type="spellStart"/>
      <w:r w:rsidR="00850535" w:rsidRPr="00850535">
        <w:rPr>
          <w:rFonts w:cs="Arial"/>
          <w:bCs/>
          <w:spacing w:val="-14"/>
          <w:w w:val="80"/>
        </w:rPr>
        <w:t>Ltd</w:t>
      </w:r>
      <w:proofErr w:type="spellEnd"/>
      <w:r w:rsidR="00850535" w:rsidRPr="00850535">
        <w:rPr>
          <w:rFonts w:cs="Arial"/>
          <w:bCs/>
          <w:spacing w:val="-14"/>
          <w:w w:val="80"/>
        </w:rPr>
        <w:t xml:space="preserve">., με έδρα την Κύπρο, εταιρεία η οποία είναι ο πλειοψηφικός μέτοχος της </w:t>
      </w:r>
      <w:proofErr w:type="spellStart"/>
      <w:r w:rsidR="00850535" w:rsidRPr="00850535">
        <w:rPr>
          <w:rFonts w:cs="Arial"/>
          <w:bCs/>
          <w:spacing w:val="-14"/>
          <w:w w:val="80"/>
        </w:rPr>
        <w:t>Atomaiz</w:t>
      </w:r>
      <w:proofErr w:type="spellEnd"/>
      <w:r w:rsidR="00850535" w:rsidRPr="00850535">
        <w:rPr>
          <w:rFonts w:cs="Arial"/>
          <w:bCs/>
          <w:spacing w:val="-14"/>
          <w:w w:val="80"/>
        </w:rPr>
        <w:t xml:space="preserve"> και σύμφωνα με το Διάταγμα 14024/25.3.24 σχετίζεται με δραστηριότητα στον τομέα των χρηματοπιστωτικών υπηρεσιών της οικονομίας της Ρωσικής Ομοσπονδίας. Συγκεκριμένα οι εταιρείες αυτές είτε βοήθησαν στη δημιουργία ή λειτουργία υπηρεσιών, που βασίζονται σε </w:t>
      </w:r>
      <w:proofErr w:type="spellStart"/>
      <w:r w:rsidR="00850535" w:rsidRPr="00850535">
        <w:rPr>
          <w:rFonts w:cs="Arial"/>
          <w:bCs/>
          <w:spacing w:val="-14"/>
          <w:w w:val="80"/>
        </w:rPr>
        <w:t>blockchain</w:t>
      </w:r>
      <w:proofErr w:type="spellEnd"/>
      <w:r w:rsidR="00850535" w:rsidRPr="00850535">
        <w:rPr>
          <w:rFonts w:cs="Arial"/>
          <w:bCs/>
          <w:spacing w:val="-14"/>
          <w:w w:val="80"/>
        </w:rPr>
        <w:t xml:space="preserve"> ή έχουν ενεργοποιήσει πληρωμές σε εικονικό νόμισμα στον ρωσικό χρηματοπιστωτικό τομέα, επιτρέποντας</w:t>
      </w:r>
      <w:r w:rsidR="0021642C">
        <w:rPr>
          <w:rFonts w:cs="Arial"/>
          <w:bCs/>
          <w:spacing w:val="-14"/>
          <w:w w:val="80"/>
        </w:rPr>
        <w:t>,</w:t>
      </w:r>
      <w:r w:rsidR="00850535" w:rsidRPr="00850535">
        <w:rPr>
          <w:rFonts w:cs="Arial"/>
          <w:bCs/>
          <w:spacing w:val="-14"/>
          <w:w w:val="80"/>
        </w:rPr>
        <w:t xml:space="preserve"> </w:t>
      </w:r>
      <w:proofErr w:type="spellStart"/>
      <w:r w:rsidR="00850535" w:rsidRPr="00850535">
        <w:rPr>
          <w:rFonts w:cs="Arial"/>
          <w:bCs/>
          <w:spacing w:val="-14"/>
          <w:w w:val="80"/>
        </w:rPr>
        <w:t>κατ΄</w:t>
      </w:r>
      <w:proofErr w:type="spellEnd"/>
      <w:r w:rsidR="00850535" w:rsidRPr="00850535">
        <w:rPr>
          <w:rFonts w:cs="Arial"/>
          <w:bCs/>
          <w:spacing w:val="-14"/>
          <w:w w:val="80"/>
        </w:rPr>
        <w:t xml:space="preserve"> αυτόν τον τρόπο</w:t>
      </w:r>
      <w:r w:rsidR="0021642C">
        <w:rPr>
          <w:rFonts w:cs="Arial"/>
          <w:bCs/>
          <w:spacing w:val="-14"/>
          <w:w w:val="80"/>
        </w:rPr>
        <w:t>,</w:t>
      </w:r>
      <w:r w:rsidR="00850535" w:rsidRPr="00850535">
        <w:rPr>
          <w:rFonts w:cs="Arial"/>
          <w:bCs/>
          <w:spacing w:val="-14"/>
          <w:w w:val="80"/>
        </w:rPr>
        <w:t xml:space="preserve"> πιθανή αποφυγή κυρώσεων. </w:t>
      </w:r>
    </w:p>
    <w:p w:rsid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850535" w:rsidRPr="00850535">
        <w:rPr>
          <w:rFonts w:cs="Arial"/>
          <w:bCs/>
          <w:spacing w:val="-14"/>
          <w:w w:val="80"/>
        </w:rPr>
        <w:t>Σύμφωνα</w:t>
      </w:r>
      <w:r w:rsidR="0021642C">
        <w:rPr>
          <w:rFonts w:cs="Arial"/>
          <w:bCs/>
          <w:spacing w:val="-14"/>
          <w:w w:val="80"/>
        </w:rPr>
        <w:t>,</w:t>
      </w:r>
      <w:r w:rsidR="00850535" w:rsidRPr="00850535">
        <w:rPr>
          <w:rFonts w:cs="Arial"/>
          <w:bCs/>
          <w:spacing w:val="-14"/>
          <w:w w:val="80"/>
        </w:rPr>
        <w:t xml:space="preserve"> μάλιστα</w:t>
      </w:r>
      <w:r w:rsidR="0021642C">
        <w:rPr>
          <w:rFonts w:cs="Arial"/>
          <w:bCs/>
          <w:spacing w:val="-14"/>
          <w:w w:val="80"/>
        </w:rPr>
        <w:t>,</w:t>
      </w:r>
      <w:r w:rsidR="00850535" w:rsidRPr="00850535">
        <w:rPr>
          <w:rFonts w:cs="Arial"/>
          <w:bCs/>
          <w:spacing w:val="-14"/>
          <w:w w:val="80"/>
        </w:rPr>
        <w:t xml:space="preserve"> με δηλώσεις του αμερικανού Υφυπουργού Οικονομικών</w:t>
      </w:r>
      <w:r w:rsidR="0021642C">
        <w:rPr>
          <w:rFonts w:cs="Arial"/>
          <w:bCs/>
          <w:spacing w:val="-14"/>
          <w:w w:val="80"/>
        </w:rPr>
        <w:t>,</w:t>
      </w:r>
      <w:r w:rsidR="00850535" w:rsidRPr="00850535">
        <w:rPr>
          <w:rFonts w:cs="Arial"/>
          <w:bCs/>
          <w:spacing w:val="-14"/>
          <w:w w:val="80"/>
        </w:rPr>
        <w:t xml:space="preserve"> κ. </w:t>
      </w:r>
      <w:r w:rsidR="00850535" w:rsidRPr="00850535">
        <w:rPr>
          <w:rFonts w:cs="Arial"/>
          <w:bCs/>
          <w:spacing w:val="-14"/>
          <w:w w:val="80"/>
          <w:lang w:val="en-US"/>
        </w:rPr>
        <w:t>Brian</w:t>
      </w:r>
      <w:r w:rsidR="00850535" w:rsidRPr="00850535">
        <w:rPr>
          <w:rFonts w:cs="Arial"/>
          <w:bCs/>
          <w:spacing w:val="-14"/>
          <w:w w:val="80"/>
        </w:rPr>
        <w:t xml:space="preserve"> </w:t>
      </w:r>
      <w:r w:rsidR="00850535" w:rsidRPr="00850535">
        <w:rPr>
          <w:rFonts w:cs="Arial"/>
          <w:bCs/>
          <w:spacing w:val="-14"/>
          <w:w w:val="80"/>
          <w:lang w:val="en-US"/>
        </w:rPr>
        <w:t>E</w:t>
      </w:r>
      <w:r w:rsidR="00850535" w:rsidRPr="00850535">
        <w:rPr>
          <w:rFonts w:cs="Arial"/>
          <w:bCs/>
          <w:spacing w:val="-14"/>
          <w:w w:val="80"/>
        </w:rPr>
        <w:t xml:space="preserve">. </w:t>
      </w:r>
      <w:r w:rsidR="00850535" w:rsidRPr="00850535">
        <w:rPr>
          <w:rFonts w:cs="Arial"/>
          <w:bCs/>
          <w:spacing w:val="-14"/>
          <w:w w:val="80"/>
          <w:lang w:val="en-US"/>
        </w:rPr>
        <w:t>Nelson</w:t>
      </w:r>
      <w:r w:rsidR="0021642C">
        <w:rPr>
          <w:rFonts w:cs="Arial"/>
          <w:bCs/>
          <w:spacing w:val="-14"/>
          <w:w w:val="80"/>
        </w:rPr>
        <w:t>,</w:t>
      </w:r>
      <w:r w:rsidR="00850535" w:rsidRPr="00850535">
        <w:rPr>
          <w:rFonts w:cs="Arial"/>
          <w:bCs/>
          <w:spacing w:val="-14"/>
          <w:w w:val="80"/>
        </w:rPr>
        <w:t xml:space="preserve"> «η Ρωσία στρέφεται ολοένα και περισσότερο σε εναλλακτικούς μηχανισμούς πληρωμής για να παρακάμψει τις κυρώσεις των ΗΠΑ και να συνε</w:t>
      </w:r>
      <w:r w:rsidR="0021642C">
        <w:rPr>
          <w:rFonts w:cs="Arial"/>
          <w:bCs/>
          <w:spacing w:val="-14"/>
          <w:w w:val="80"/>
        </w:rPr>
        <w:t>χίσει να χρηματοδοτεί τον πόλεμο,</w:t>
      </w:r>
      <w:r w:rsidR="00850535" w:rsidRPr="00850535">
        <w:rPr>
          <w:rFonts w:cs="Arial"/>
          <w:bCs/>
          <w:spacing w:val="-14"/>
          <w:w w:val="80"/>
        </w:rPr>
        <w:t xml:space="preserve"> κατά της Ουκρανίας». </w:t>
      </w:r>
      <w:r w:rsidR="00D53464" w:rsidRPr="00D53464">
        <w:rPr>
          <w:rFonts w:cs="Arial"/>
          <w:bCs/>
          <w:spacing w:val="-14"/>
          <w:w w:val="80"/>
        </w:rPr>
        <w:t xml:space="preserve">                                                </w:t>
      </w:r>
      <w:r w:rsidR="00850535" w:rsidRPr="00850535">
        <w:rPr>
          <w:rFonts w:cs="Arial"/>
          <w:bCs/>
          <w:spacing w:val="-14"/>
          <w:w w:val="80"/>
        </w:rPr>
        <w:t xml:space="preserve">Ο κ. </w:t>
      </w:r>
      <w:r w:rsidR="00850535" w:rsidRPr="00850535">
        <w:rPr>
          <w:rFonts w:cs="Arial"/>
          <w:bCs/>
          <w:spacing w:val="-14"/>
          <w:w w:val="80"/>
          <w:lang w:val="en-US"/>
        </w:rPr>
        <w:t>Nelson</w:t>
      </w:r>
      <w:r w:rsidR="00850535" w:rsidRPr="00850535">
        <w:rPr>
          <w:rFonts w:cs="Arial"/>
          <w:bCs/>
          <w:spacing w:val="-14"/>
          <w:w w:val="80"/>
        </w:rPr>
        <w:t xml:space="preserve"> υπογράμμισε ότι το Υπουργείο Οικονομικών των ΗΠΑ θα συνεχίσει να </w:t>
      </w:r>
      <w:proofErr w:type="spellStart"/>
      <w:r w:rsidR="00850535" w:rsidRPr="00850535">
        <w:rPr>
          <w:rFonts w:cs="Arial"/>
          <w:bCs/>
          <w:spacing w:val="-14"/>
          <w:w w:val="80"/>
        </w:rPr>
        <w:t>στοχοποιεί</w:t>
      </w:r>
      <w:proofErr w:type="spellEnd"/>
      <w:r w:rsidR="00850535" w:rsidRPr="00850535">
        <w:rPr>
          <w:rFonts w:cs="Arial"/>
          <w:bCs/>
          <w:spacing w:val="-14"/>
          <w:w w:val="80"/>
        </w:rPr>
        <w:t xml:space="preserve"> και να εμποδίζει τις εταιρείες, που επιδιώκουν να βοηθήσουν τα ρωσικά χρηματοπιστωτικά ιδρύματα, στα οποία έχουν επιβληθεί κυρώσεις, να επανασυνδεθούν με το παγκόσμιο χρηματοπιστωτικό σύστημα. </w:t>
      </w:r>
    </w:p>
    <w:p w:rsidR="009075C0" w:rsidRPr="00194694" w:rsidRDefault="00194694" w:rsidP="00194694">
      <w:pPr>
        <w:spacing w:after="0" w:line="220" w:lineRule="exact"/>
        <w:ind w:left="284"/>
        <w:jc w:val="both"/>
        <w:outlineLvl w:val="0"/>
        <w:rPr>
          <w:rFonts w:cs="Arial"/>
          <w:bCs/>
          <w:spacing w:val="-14"/>
          <w:w w:val="80"/>
          <w:kern w:val="48"/>
        </w:rPr>
      </w:pPr>
      <w:r>
        <w:rPr>
          <w:rFonts w:cs="Arial"/>
          <w:bCs/>
          <w:spacing w:val="-14"/>
          <w:w w:val="80"/>
          <w:kern w:val="48"/>
        </w:rPr>
        <w:t xml:space="preserve">      </w:t>
      </w:r>
      <w:r w:rsidR="00850535" w:rsidRPr="00850535">
        <w:rPr>
          <w:rFonts w:cs="Arial"/>
          <w:bCs/>
          <w:spacing w:val="-14"/>
          <w:w w:val="80"/>
        </w:rPr>
        <w:t>Σημειώνεται, τέλος</w:t>
      </w:r>
      <w:r w:rsidR="0021642C">
        <w:rPr>
          <w:rFonts w:cs="Arial"/>
          <w:bCs/>
          <w:spacing w:val="-14"/>
          <w:w w:val="80"/>
        </w:rPr>
        <w:t>,</w:t>
      </w:r>
      <w:r w:rsidR="00850535" w:rsidRPr="00850535">
        <w:rPr>
          <w:rFonts w:cs="Arial"/>
          <w:bCs/>
          <w:spacing w:val="-14"/>
          <w:w w:val="80"/>
        </w:rPr>
        <w:t xml:space="preserve"> ότι</w:t>
      </w:r>
      <w:r w:rsidR="0021642C">
        <w:rPr>
          <w:rFonts w:cs="Arial"/>
          <w:bCs/>
          <w:spacing w:val="-14"/>
          <w:w w:val="80"/>
        </w:rPr>
        <w:t>,</w:t>
      </w:r>
      <w:r w:rsidR="00850535" w:rsidRPr="00850535">
        <w:rPr>
          <w:rFonts w:cs="Arial"/>
          <w:bCs/>
          <w:spacing w:val="-14"/>
          <w:w w:val="80"/>
        </w:rPr>
        <w:t xml:space="preserve"> στις 24.2.</w:t>
      </w:r>
      <w:r w:rsidR="00E665A7">
        <w:rPr>
          <w:rFonts w:cs="Arial"/>
          <w:bCs/>
          <w:spacing w:val="-14"/>
          <w:w w:val="80"/>
        </w:rPr>
        <w:t xml:space="preserve"> </w:t>
      </w:r>
      <w:proofErr w:type="spellStart"/>
      <w:r w:rsidR="00850535" w:rsidRPr="00850535">
        <w:rPr>
          <w:rFonts w:cs="Arial"/>
          <w:bCs/>
          <w:spacing w:val="-14"/>
          <w:w w:val="80"/>
        </w:rPr>
        <w:t>τ.έ</w:t>
      </w:r>
      <w:proofErr w:type="spellEnd"/>
      <w:r w:rsidR="00850535" w:rsidRPr="00850535">
        <w:rPr>
          <w:rFonts w:cs="Arial"/>
          <w:bCs/>
          <w:spacing w:val="-14"/>
          <w:w w:val="80"/>
        </w:rPr>
        <w:t>.</w:t>
      </w:r>
      <w:r w:rsidR="0021642C">
        <w:rPr>
          <w:rFonts w:cs="Arial"/>
          <w:bCs/>
          <w:spacing w:val="-14"/>
          <w:w w:val="80"/>
        </w:rPr>
        <w:t>,</w:t>
      </w:r>
      <w:r w:rsidR="00850535" w:rsidRPr="00850535">
        <w:rPr>
          <w:rFonts w:cs="Arial"/>
          <w:bCs/>
          <w:spacing w:val="-14"/>
          <w:w w:val="80"/>
        </w:rPr>
        <w:t xml:space="preserve"> οι ηγέτες της Ομάδας των G7 επιβεβαίωσαν τη δέσμευσή τους να εντείνουν τις προσπάθειές τους κατά της παράκαμψης των επιβληθεισών κυρώσεων και των μέτρων ελέγχου των ρωσικών εξαγωγών.</w:t>
      </w:r>
    </w:p>
    <w:p w:rsidR="009075C0" w:rsidRPr="00A36633" w:rsidRDefault="009075C0" w:rsidP="003C0854">
      <w:pPr>
        <w:tabs>
          <w:tab w:val="left" w:pos="284"/>
          <w:tab w:val="left" w:pos="426"/>
        </w:tabs>
        <w:spacing w:after="0" w:line="220" w:lineRule="exact"/>
        <w:jc w:val="both"/>
        <w:outlineLvl w:val="0"/>
        <w:rPr>
          <w:rFonts w:cs="Arial"/>
          <w:bCs/>
          <w:color w:val="0070C0"/>
          <w:spacing w:val="-14"/>
          <w:w w:val="80"/>
        </w:rPr>
      </w:pPr>
    </w:p>
    <w:sectPr w:rsidR="009075C0" w:rsidRPr="00A36633" w:rsidSect="004C4036">
      <w:pgSz w:w="11906" w:h="16838"/>
      <w:pgMar w:top="426" w:right="849" w:bottom="567" w:left="426" w:header="708" w:footer="708" w:gutter="0"/>
      <w:cols w:num="2"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E31" w:rsidRDefault="00FE4E31" w:rsidP="00FB1B6F">
      <w:pPr>
        <w:spacing w:after="0" w:line="240" w:lineRule="auto"/>
      </w:pPr>
      <w:r>
        <w:separator/>
      </w:r>
    </w:p>
  </w:endnote>
  <w:endnote w:type="continuationSeparator" w:id="0">
    <w:p w:rsidR="00FE4E31" w:rsidRDefault="00FE4E31" w:rsidP="00FB1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ndale Sans UI">
    <w:altName w:val="Times New Roman"/>
    <w:charset w:val="A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E31" w:rsidRDefault="00FE4E31" w:rsidP="00FB1B6F">
      <w:pPr>
        <w:spacing w:after="0" w:line="240" w:lineRule="auto"/>
      </w:pPr>
      <w:r>
        <w:separator/>
      </w:r>
    </w:p>
  </w:footnote>
  <w:footnote w:type="continuationSeparator" w:id="0">
    <w:p w:rsidR="00FE4E31" w:rsidRDefault="00FE4E31" w:rsidP="00FB1B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7D6C"/>
    <w:multiLevelType w:val="hybridMultilevel"/>
    <w:tmpl w:val="CDE0979C"/>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4C4728F"/>
    <w:multiLevelType w:val="hybridMultilevel"/>
    <w:tmpl w:val="66ECD4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A307252"/>
    <w:multiLevelType w:val="hybridMultilevel"/>
    <w:tmpl w:val="150811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C6D649C"/>
    <w:multiLevelType w:val="hybridMultilevel"/>
    <w:tmpl w:val="1DDAA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E103645"/>
    <w:multiLevelType w:val="hybridMultilevel"/>
    <w:tmpl w:val="72046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02B68F1"/>
    <w:multiLevelType w:val="hybridMultilevel"/>
    <w:tmpl w:val="6F5EF81A"/>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7F31BC"/>
    <w:multiLevelType w:val="hybridMultilevel"/>
    <w:tmpl w:val="7E4A531A"/>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ED143C"/>
    <w:multiLevelType w:val="hybridMultilevel"/>
    <w:tmpl w:val="0AD83D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89F463A"/>
    <w:multiLevelType w:val="hybridMultilevel"/>
    <w:tmpl w:val="2FF05F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5D4091"/>
    <w:multiLevelType w:val="hybridMultilevel"/>
    <w:tmpl w:val="93465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6E7DEB"/>
    <w:multiLevelType w:val="hybridMultilevel"/>
    <w:tmpl w:val="FA9A76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DA04096"/>
    <w:multiLevelType w:val="hybridMultilevel"/>
    <w:tmpl w:val="D8607E64"/>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1031A2C"/>
    <w:multiLevelType w:val="hybridMultilevel"/>
    <w:tmpl w:val="7634215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3907B44"/>
    <w:multiLevelType w:val="hybridMultilevel"/>
    <w:tmpl w:val="7974F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5880897"/>
    <w:multiLevelType w:val="hybridMultilevel"/>
    <w:tmpl w:val="B6240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65667DE"/>
    <w:multiLevelType w:val="hybridMultilevel"/>
    <w:tmpl w:val="CD40A3A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9C115AD"/>
    <w:multiLevelType w:val="hybridMultilevel"/>
    <w:tmpl w:val="9A181D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B2E375A"/>
    <w:multiLevelType w:val="multilevel"/>
    <w:tmpl w:val="5132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E0830"/>
    <w:multiLevelType w:val="hybridMultilevel"/>
    <w:tmpl w:val="B8B81FF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33213541"/>
    <w:multiLevelType w:val="hybridMultilevel"/>
    <w:tmpl w:val="0226BB16"/>
    <w:lvl w:ilvl="0" w:tplc="04080005">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0">
    <w:nsid w:val="34BF4AEB"/>
    <w:multiLevelType w:val="hybridMultilevel"/>
    <w:tmpl w:val="C478D08E"/>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21">
    <w:nsid w:val="351B1B0C"/>
    <w:multiLevelType w:val="hybridMultilevel"/>
    <w:tmpl w:val="ACF60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5B21A4C"/>
    <w:multiLevelType w:val="hybridMultilevel"/>
    <w:tmpl w:val="005290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3">
    <w:nsid w:val="383E67B6"/>
    <w:multiLevelType w:val="hybridMultilevel"/>
    <w:tmpl w:val="EE4ED882"/>
    <w:lvl w:ilvl="0" w:tplc="9DA414F2">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24">
    <w:nsid w:val="3C0B20DA"/>
    <w:multiLevelType w:val="hybridMultilevel"/>
    <w:tmpl w:val="BD94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E0051E5"/>
    <w:multiLevelType w:val="hybridMultilevel"/>
    <w:tmpl w:val="581CB8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E1F6AD5"/>
    <w:multiLevelType w:val="hybridMultilevel"/>
    <w:tmpl w:val="9844F5B0"/>
    <w:lvl w:ilvl="0" w:tplc="0408000F">
      <w:start w:val="1"/>
      <w:numFmt w:val="decimal"/>
      <w:lvlText w:val="%1."/>
      <w:lvlJc w:val="left"/>
      <w:pPr>
        <w:ind w:left="5322" w:hanging="360"/>
      </w:pPr>
    </w:lvl>
    <w:lvl w:ilvl="1" w:tplc="04080019" w:tentative="1">
      <w:start w:val="1"/>
      <w:numFmt w:val="lowerLetter"/>
      <w:lvlText w:val="%2."/>
      <w:lvlJc w:val="left"/>
      <w:pPr>
        <w:ind w:left="6042" w:hanging="360"/>
      </w:pPr>
    </w:lvl>
    <w:lvl w:ilvl="2" w:tplc="0408001B" w:tentative="1">
      <w:start w:val="1"/>
      <w:numFmt w:val="lowerRoman"/>
      <w:lvlText w:val="%3."/>
      <w:lvlJc w:val="right"/>
      <w:pPr>
        <w:ind w:left="6762" w:hanging="180"/>
      </w:pPr>
    </w:lvl>
    <w:lvl w:ilvl="3" w:tplc="0408000F" w:tentative="1">
      <w:start w:val="1"/>
      <w:numFmt w:val="decimal"/>
      <w:lvlText w:val="%4."/>
      <w:lvlJc w:val="left"/>
      <w:pPr>
        <w:ind w:left="7482" w:hanging="360"/>
      </w:pPr>
    </w:lvl>
    <w:lvl w:ilvl="4" w:tplc="04080019" w:tentative="1">
      <w:start w:val="1"/>
      <w:numFmt w:val="lowerLetter"/>
      <w:lvlText w:val="%5."/>
      <w:lvlJc w:val="left"/>
      <w:pPr>
        <w:ind w:left="8202" w:hanging="360"/>
      </w:pPr>
    </w:lvl>
    <w:lvl w:ilvl="5" w:tplc="0408001B" w:tentative="1">
      <w:start w:val="1"/>
      <w:numFmt w:val="lowerRoman"/>
      <w:lvlText w:val="%6."/>
      <w:lvlJc w:val="right"/>
      <w:pPr>
        <w:ind w:left="8922" w:hanging="180"/>
      </w:pPr>
    </w:lvl>
    <w:lvl w:ilvl="6" w:tplc="0408000F" w:tentative="1">
      <w:start w:val="1"/>
      <w:numFmt w:val="decimal"/>
      <w:lvlText w:val="%7."/>
      <w:lvlJc w:val="left"/>
      <w:pPr>
        <w:ind w:left="9642" w:hanging="360"/>
      </w:pPr>
    </w:lvl>
    <w:lvl w:ilvl="7" w:tplc="04080019" w:tentative="1">
      <w:start w:val="1"/>
      <w:numFmt w:val="lowerLetter"/>
      <w:lvlText w:val="%8."/>
      <w:lvlJc w:val="left"/>
      <w:pPr>
        <w:ind w:left="10362" w:hanging="360"/>
      </w:pPr>
    </w:lvl>
    <w:lvl w:ilvl="8" w:tplc="0408001B" w:tentative="1">
      <w:start w:val="1"/>
      <w:numFmt w:val="lowerRoman"/>
      <w:lvlText w:val="%9."/>
      <w:lvlJc w:val="right"/>
      <w:pPr>
        <w:ind w:left="11082" w:hanging="180"/>
      </w:pPr>
    </w:lvl>
  </w:abstractNum>
  <w:abstractNum w:abstractNumId="27">
    <w:nsid w:val="3E311B73"/>
    <w:multiLevelType w:val="multilevel"/>
    <w:tmpl w:val="9DA0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7F6056"/>
    <w:multiLevelType w:val="hybridMultilevel"/>
    <w:tmpl w:val="7E5ABD5A"/>
    <w:lvl w:ilvl="0" w:tplc="9DA414F2">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9">
    <w:nsid w:val="42D350FD"/>
    <w:multiLevelType w:val="hybridMultilevel"/>
    <w:tmpl w:val="76A62C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4234752"/>
    <w:multiLevelType w:val="hybridMultilevel"/>
    <w:tmpl w:val="95E884B0"/>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46C2484"/>
    <w:multiLevelType w:val="multilevel"/>
    <w:tmpl w:val="42C2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BA6754"/>
    <w:multiLevelType w:val="hybridMultilevel"/>
    <w:tmpl w:val="65281BE0"/>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33">
    <w:nsid w:val="46655AED"/>
    <w:multiLevelType w:val="hybridMultilevel"/>
    <w:tmpl w:val="0EF08F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48923CB1"/>
    <w:multiLevelType w:val="hybridMultilevel"/>
    <w:tmpl w:val="EFF2B0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4C592AF7"/>
    <w:multiLevelType w:val="hybridMultilevel"/>
    <w:tmpl w:val="EC4A94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4E1E0994"/>
    <w:multiLevelType w:val="hybridMultilevel"/>
    <w:tmpl w:val="681C74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4E2B1DD7"/>
    <w:multiLevelType w:val="hybridMultilevel"/>
    <w:tmpl w:val="072EE426"/>
    <w:lvl w:ilvl="0" w:tplc="9DA414F2">
      <w:start w:val="1"/>
      <w:numFmt w:val="bullet"/>
      <w:lvlText w:val=""/>
      <w:lvlJc w:val="left"/>
      <w:pPr>
        <w:ind w:left="1298" w:hanging="360"/>
      </w:pPr>
      <w:rPr>
        <w:rFonts w:ascii="Symbol" w:hAnsi="Symbol" w:hint="default"/>
      </w:rPr>
    </w:lvl>
    <w:lvl w:ilvl="1" w:tplc="04080003" w:tentative="1">
      <w:start w:val="1"/>
      <w:numFmt w:val="bullet"/>
      <w:lvlText w:val="o"/>
      <w:lvlJc w:val="left"/>
      <w:pPr>
        <w:ind w:left="2018" w:hanging="360"/>
      </w:pPr>
      <w:rPr>
        <w:rFonts w:ascii="Courier New" w:hAnsi="Courier New" w:cs="Courier New" w:hint="default"/>
      </w:rPr>
    </w:lvl>
    <w:lvl w:ilvl="2" w:tplc="04080005" w:tentative="1">
      <w:start w:val="1"/>
      <w:numFmt w:val="bullet"/>
      <w:lvlText w:val=""/>
      <w:lvlJc w:val="left"/>
      <w:pPr>
        <w:ind w:left="2738" w:hanging="360"/>
      </w:pPr>
      <w:rPr>
        <w:rFonts w:ascii="Wingdings" w:hAnsi="Wingdings" w:hint="default"/>
      </w:rPr>
    </w:lvl>
    <w:lvl w:ilvl="3" w:tplc="04080001" w:tentative="1">
      <w:start w:val="1"/>
      <w:numFmt w:val="bullet"/>
      <w:lvlText w:val=""/>
      <w:lvlJc w:val="left"/>
      <w:pPr>
        <w:ind w:left="3458" w:hanging="360"/>
      </w:pPr>
      <w:rPr>
        <w:rFonts w:ascii="Symbol" w:hAnsi="Symbol" w:hint="default"/>
      </w:rPr>
    </w:lvl>
    <w:lvl w:ilvl="4" w:tplc="04080003" w:tentative="1">
      <w:start w:val="1"/>
      <w:numFmt w:val="bullet"/>
      <w:lvlText w:val="o"/>
      <w:lvlJc w:val="left"/>
      <w:pPr>
        <w:ind w:left="4178" w:hanging="360"/>
      </w:pPr>
      <w:rPr>
        <w:rFonts w:ascii="Courier New" w:hAnsi="Courier New" w:cs="Courier New" w:hint="default"/>
      </w:rPr>
    </w:lvl>
    <w:lvl w:ilvl="5" w:tplc="04080005" w:tentative="1">
      <w:start w:val="1"/>
      <w:numFmt w:val="bullet"/>
      <w:lvlText w:val=""/>
      <w:lvlJc w:val="left"/>
      <w:pPr>
        <w:ind w:left="4898" w:hanging="360"/>
      </w:pPr>
      <w:rPr>
        <w:rFonts w:ascii="Wingdings" w:hAnsi="Wingdings" w:hint="default"/>
      </w:rPr>
    </w:lvl>
    <w:lvl w:ilvl="6" w:tplc="04080001" w:tentative="1">
      <w:start w:val="1"/>
      <w:numFmt w:val="bullet"/>
      <w:lvlText w:val=""/>
      <w:lvlJc w:val="left"/>
      <w:pPr>
        <w:ind w:left="5618" w:hanging="360"/>
      </w:pPr>
      <w:rPr>
        <w:rFonts w:ascii="Symbol" w:hAnsi="Symbol" w:hint="default"/>
      </w:rPr>
    </w:lvl>
    <w:lvl w:ilvl="7" w:tplc="04080003" w:tentative="1">
      <w:start w:val="1"/>
      <w:numFmt w:val="bullet"/>
      <w:lvlText w:val="o"/>
      <w:lvlJc w:val="left"/>
      <w:pPr>
        <w:ind w:left="6338" w:hanging="360"/>
      </w:pPr>
      <w:rPr>
        <w:rFonts w:ascii="Courier New" w:hAnsi="Courier New" w:cs="Courier New" w:hint="default"/>
      </w:rPr>
    </w:lvl>
    <w:lvl w:ilvl="8" w:tplc="04080005" w:tentative="1">
      <w:start w:val="1"/>
      <w:numFmt w:val="bullet"/>
      <w:lvlText w:val=""/>
      <w:lvlJc w:val="left"/>
      <w:pPr>
        <w:ind w:left="7058" w:hanging="360"/>
      </w:pPr>
      <w:rPr>
        <w:rFonts w:ascii="Wingdings" w:hAnsi="Wingdings" w:hint="default"/>
      </w:rPr>
    </w:lvl>
  </w:abstractNum>
  <w:abstractNum w:abstractNumId="38">
    <w:nsid w:val="4E52644C"/>
    <w:multiLevelType w:val="hybridMultilevel"/>
    <w:tmpl w:val="060C33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4E7B7E22"/>
    <w:multiLevelType w:val="hybridMultilevel"/>
    <w:tmpl w:val="68A0330E"/>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52D03FAA"/>
    <w:multiLevelType w:val="hybridMultilevel"/>
    <w:tmpl w:val="516C0FA4"/>
    <w:lvl w:ilvl="0" w:tplc="9DA414F2">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41">
    <w:nsid w:val="55002AE6"/>
    <w:multiLevelType w:val="hybridMultilevel"/>
    <w:tmpl w:val="077A1D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58836B89"/>
    <w:multiLevelType w:val="hybridMultilevel"/>
    <w:tmpl w:val="764A5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592A6A02"/>
    <w:multiLevelType w:val="hybridMultilevel"/>
    <w:tmpl w:val="4560C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5D374974"/>
    <w:multiLevelType w:val="multilevel"/>
    <w:tmpl w:val="4466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036F44"/>
    <w:multiLevelType w:val="hybridMultilevel"/>
    <w:tmpl w:val="973C56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5FCE1D26"/>
    <w:multiLevelType w:val="hybridMultilevel"/>
    <w:tmpl w:val="B638020E"/>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47">
    <w:nsid w:val="60A31242"/>
    <w:multiLevelType w:val="multilevel"/>
    <w:tmpl w:val="1D246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3D70648"/>
    <w:multiLevelType w:val="multilevel"/>
    <w:tmpl w:val="73A4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1555C5"/>
    <w:multiLevelType w:val="hybridMultilevel"/>
    <w:tmpl w:val="179C0D6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0">
    <w:nsid w:val="65DA2741"/>
    <w:multiLevelType w:val="hybridMultilevel"/>
    <w:tmpl w:val="68B43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67C83B31"/>
    <w:multiLevelType w:val="hybridMultilevel"/>
    <w:tmpl w:val="0F3E18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6F4D2CD5"/>
    <w:multiLevelType w:val="hybridMultilevel"/>
    <w:tmpl w:val="22E4F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nsid w:val="71E2375F"/>
    <w:multiLevelType w:val="hybridMultilevel"/>
    <w:tmpl w:val="06A66D4C"/>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54">
    <w:nsid w:val="74441A0D"/>
    <w:multiLevelType w:val="hybridMultilevel"/>
    <w:tmpl w:val="3064BA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nsid w:val="74B468B5"/>
    <w:multiLevelType w:val="hybridMultilevel"/>
    <w:tmpl w:val="673E1D08"/>
    <w:lvl w:ilvl="0" w:tplc="9DA414F2">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56">
    <w:nsid w:val="75074BD5"/>
    <w:multiLevelType w:val="hybridMultilevel"/>
    <w:tmpl w:val="F5D48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77781057"/>
    <w:multiLevelType w:val="hybridMultilevel"/>
    <w:tmpl w:val="34A65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nsid w:val="779B55F8"/>
    <w:multiLevelType w:val="hybridMultilevel"/>
    <w:tmpl w:val="A8B47E4C"/>
    <w:lvl w:ilvl="0" w:tplc="9DA414F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77EB5571"/>
    <w:multiLevelType w:val="hybridMultilevel"/>
    <w:tmpl w:val="462C5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79172FC6"/>
    <w:multiLevelType w:val="hybridMultilevel"/>
    <w:tmpl w:val="DFDC9408"/>
    <w:lvl w:ilvl="0" w:tplc="9DA414F2">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61">
    <w:nsid w:val="7E863F5A"/>
    <w:multiLevelType w:val="multilevel"/>
    <w:tmpl w:val="6450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3"/>
  </w:num>
  <w:num w:numId="3">
    <w:abstractNumId w:val="49"/>
  </w:num>
  <w:num w:numId="4">
    <w:abstractNumId w:val="43"/>
  </w:num>
  <w:num w:numId="5">
    <w:abstractNumId w:val="7"/>
  </w:num>
  <w:num w:numId="6">
    <w:abstractNumId w:val="17"/>
  </w:num>
  <w:num w:numId="7">
    <w:abstractNumId w:val="2"/>
  </w:num>
  <w:num w:numId="8">
    <w:abstractNumId w:val="33"/>
  </w:num>
  <w:num w:numId="9">
    <w:abstractNumId w:val="12"/>
  </w:num>
  <w:num w:numId="10">
    <w:abstractNumId w:val="28"/>
  </w:num>
  <w:num w:numId="11">
    <w:abstractNumId w:val="15"/>
  </w:num>
  <w:num w:numId="12">
    <w:abstractNumId w:val="40"/>
  </w:num>
  <w:num w:numId="13">
    <w:abstractNumId w:val="11"/>
  </w:num>
  <w:num w:numId="14">
    <w:abstractNumId w:val="30"/>
  </w:num>
  <w:num w:numId="15">
    <w:abstractNumId w:val="6"/>
  </w:num>
  <w:num w:numId="16">
    <w:abstractNumId w:val="34"/>
  </w:num>
  <w:num w:numId="17">
    <w:abstractNumId w:val="54"/>
  </w:num>
  <w:num w:numId="18">
    <w:abstractNumId w:val="45"/>
  </w:num>
  <w:num w:numId="19">
    <w:abstractNumId w:val="5"/>
  </w:num>
  <w:num w:numId="20">
    <w:abstractNumId w:val="58"/>
  </w:num>
  <w:num w:numId="21">
    <w:abstractNumId w:val="0"/>
  </w:num>
  <w:num w:numId="22">
    <w:abstractNumId w:val="39"/>
  </w:num>
  <w:num w:numId="23">
    <w:abstractNumId w:val="36"/>
  </w:num>
  <w:num w:numId="24">
    <w:abstractNumId w:val="13"/>
  </w:num>
  <w:num w:numId="25">
    <w:abstractNumId w:val="52"/>
  </w:num>
  <w:num w:numId="26">
    <w:abstractNumId w:val="31"/>
  </w:num>
  <w:num w:numId="27">
    <w:abstractNumId w:val="44"/>
  </w:num>
  <w:num w:numId="28">
    <w:abstractNumId w:val="61"/>
  </w:num>
  <w:num w:numId="29">
    <w:abstractNumId w:val="27"/>
  </w:num>
  <w:num w:numId="30">
    <w:abstractNumId w:val="47"/>
  </w:num>
  <w:num w:numId="31">
    <w:abstractNumId w:val="48"/>
  </w:num>
  <w:num w:numId="32">
    <w:abstractNumId w:val="35"/>
  </w:num>
  <w:num w:numId="33">
    <w:abstractNumId w:val="57"/>
  </w:num>
  <w:num w:numId="34">
    <w:abstractNumId w:val="20"/>
  </w:num>
  <w:num w:numId="35">
    <w:abstractNumId w:val="25"/>
  </w:num>
  <w:num w:numId="36">
    <w:abstractNumId w:val="59"/>
  </w:num>
  <w:num w:numId="37">
    <w:abstractNumId w:val="1"/>
  </w:num>
  <w:num w:numId="38">
    <w:abstractNumId w:val="24"/>
  </w:num>
  <w:num w:numId="39">
    <w:abstractNumId w:val="51"/>
  </w:num>
  <w:num w:numId="40">
    <w:abstractNumId w:val="16"/>
  </w:num>
  <w:num w:numId="41">
    <w:abstractNumId w:val="10"/>
  </w:num>
  <w:num w:numId="42">
    <w:abstractNumId w:val="18"/>
  </w:num>
  <w:num w:numId="43">
    <w:abstractNumId w:val="41"/>
  </w:num>
  <w:num w:numId="44">
    <w:abstractNumId w:val="55"/>
  </w:num>
  <w:num w:numId="45">
    <w:abstractNumId w:val="42"/>
  </w:num>
  <w:num w:numId="46">
    <w:abstractNumId w:val="23"/>
  </w:num>
  <w:num w:numId="47">
    <w:abstractNumId w:val="60"/>
  </w:num>
  <w:num w:numId="48">
    <w:abstractNumId w:val="29"/>
  </w:num>
  <w:num w:numId="49">
    <w:abstractNumId w:val="38"/>
  </w:num>
  <w:num w:numId="50">
    <w:abstractNumId w:val="32"/>
  </w:num>
  <w:num w:numId="51">
    <w:abstractNumId w:val="37"/>
  </w:num>
  <w:num w:numId="52">
    <w:abstractNumId w:val="3"/>
  </w:num>
  <w:num w:numId="53">
    <w:abstractNumId w:val="19"/>
  </w:num>
  <w:num w:numId="54">
    <w:abstractNumId w:val="50"/>
  </w:num>
  <w:num w:numId="55">
    <w:abstractNumId w:val="9"/>
  </w:num>
  <w:num w:numId="56">
    <w:abstractNumId w:val="21"/>
  </w:num>
  <w:num w:numId="57">
    <w:abstractNumId w:val="46"/>
  </w:num>
  <w:num w:numId="58">
    <w:abstractNumId w:val="56"/>
  </w:num>
  <w:num w:numId="59">
    <w:abstractNumId w:val="8"/>
  </w:num>
  <w:num w:numId="60">
    <w:abstractNumId w:val="14"/>
  </w:num>
  <w:num w:numId="61">
    <w:abstractNumId w:val="4"/>
  </w:num>
  <w:num w:numId="62">
    <w:abstractNumId w:val="2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A35BC"/>
    <w:rsid w:val="00004B3E"/>
    <w:rsid w:val="000052F7"/>
    <w:rsid w:val="00010287"/>
    <w:rsid w:val="0001109C"/>
    <w:rsid w:val="00011BF9"/>
    <w:rsid w:val="000165C9"/>
    <w:rsid w:val="00021111"/>
    <w:rsid w:val="0002186D"/>
    <w:rsid w:val="0003026B"/>
    <w:rsid w:val="00032469"/>
    <w:rsid w:val="00040373"/>
    <w:rsid w:val="00045E35"/>
    <w:rsid w:val="00060BA2"/>
    <w:rsid w:val="0006454A"/>
    <w:rsid w:val="000664CD"/>
    <w:rsid w:val="00067BA9"/>
    <w:rsid w:val="00071694"/>
    <w:rsid w:val="000768DA"/>
    <w:rsid w:val="00085118"/>
    <w:rsid w:val="00085B23"/>
    <w:rsid w:val="000910D1"/>
    <w:rsid w:val="00097B8B"/>
    <w:rsid w:val="000A1614"/>
    <w:rsid w:val="000A1D09"/>
    <w:rsid w:val="000A1E28"/>
    <w:rsid w:val="000A35BC"/>
    <w:rsid w:val="000A64F4"/>
    <w:rsid w:val="000B4605"/>
    <w:rsid w:val="000B7B09"/>
    <w:rsid w:val="000B7D7F"/>
    <w:rsid w:val="000D601D"/>
    <w:rsid w:val="000D6A01"/>
    <w:rsid w:val="000E6461"/>
    <w:rsid w:val="000F50A4"/>
    <w:rsid w:val="000F6746"/>
    <w:rsid w:val="000F7E62"/>
    <w:rsid w:val="0010065A"/>
    <w:rsid w:val="00107610"/>
    <w:rsid w:val="0011058F"/>
    <w:rsid w:val="00124662"/>
    <w:rsid w:val="00130F7C"/>
    <w:rsid w:val="00133F4D"/>
    <w:rsid w:val="00137D3A"/>
    <w:rsid w:val="0014070A"/>
    <w:rsid w:val="00146201"/>
    <w:rsid w:val="0015175F"/>
    <w:rsid w:val="001565AB"/>
    <w:rsid w:val="00161B49"/>
    <w:rsid w:val="0016308A"/>
    <w:rsid w:val="001645BC"/>
    <w:rsid w:val="0017786B"/>
    <w:rsid w:val="001802C2"/>
    <w:rsid w:val="00183845"/>
    <w:rsid w:val="00194694"/>
    <w:rsid w:val="001947F6"/>
    <w:rsid w:val="00194BE0"/>
    <w:rsid w:val="001975DC"/>
    <w:rsid w:val="001A0779"/>
    <w:rsid w:val="001A3B35"/>
    <w:rsid w:val="001A454A"/>
    <w:rsid w:val="001A71CB"/>
    <w:rsid w:val="001A7595"/>
    <w:rsid w:val="001B1B7C"/>
    <w:rsid w:val="001B253F"/>
    <w:rsid w:val="001B5185"/>
    <w:rsid w:val="001C0E35"/>
    <w:rsid w:val="001C2D58"/>
    <w:rsid w:val="001C451D"/>
    <w:rsid w:val="001C47C6"/>
    <w:rsid w:val="001D2BEE"/>
    <w:rsid w:val="001D3798"/>
    <w:rsid w:val="001D5D13"/>
    <w:rsid w:val="001E293B"/>
    <w:rsid w:val="001F57FE"/>
    <w:rsid w:val="0020061A"/>
    <w:rsid w:val="00211DA5"/>
    <w:rsid w:val="002148A3"/>
    <w:rsid w:val="0021642C"/>
    <w:rsid w:val="00227A6B"/>
    <w:rsid w:val="002300A4"/>
    <w:rsid w:val="002317D1"/>
    <w:rsid w:val="0023591B"/>
    <w:rsid w:val="0024606E"/>
    <w:rsid w:val="00247971"/>
    <w:rsid w:val="0025296E"/>
    <w:rsid w:val="00255094"/>
    <w:rsid w:val="0026086D"/>
    <w:rsid w:val="0026112E"/>
    <w:rsid w:val="002653E1"/>
    <w:rsid w:val="00265758"/>
    <w:rsid w:val="00283520"/>
    <w:rsid w:val="00287545"/>
    <w:rsid w:val="0029042A"/>
    <w:rsid w:val="00294F1B"/>
    <w:rsid w:val="002B3E40"/>
    <w:rsid w:val="002C0411"/>
    <w:rsid w:val="002C1304"/>
    <w:rsid w:val="002C6D78"/>
    <w:rsid w:val="002D030B"/>
    <w:rsid w:val="002D2355"/>
    <w:rsid w:val="002D43B4"/>
    <w:rsid w:val="002D4F90"/>
    <w:rsid w:val="002E1651"/>
    <w:rsid w:val="002E7868"/>
    <w:rsid w:val="002F3B0A"/>
    <w:rsid w:val="002F482E"/>
    <w:rsid w:val="0031463D"/>
    <w:rsid w:val="00315702"/>
    <w:rsid w:val="00317DAA"/>
    <w:rsid w:val="00320934"/>
    <w:rsid w:val="00321A0B"/>
    <w:rsid w:val="00333D20"/>
    <w:rsid w:val="00342C9E"/>
    <w:rsid w:val="00352CB4"/>
    <w:rsid w:val="00356CD8"/>
    <w:rsid w:val="00365983"/>
    <w:rsid w:val="00366D12"/>
    <w:rsid w:val="00367468"/>
    <w:rsid w:val="00370966"/>
    <w:rsid w:val="00370991"/>
    <w:rsid w:val="00371666"/>
    <w:rsid w:val="00372DCD"/>
    <w:rsid w:val="00373D41"/>
    <w:rsid w:val="0037561B"/>
    <w:rsid w:val="003806CD"/>
    <w:rsid w:val="003806E0"/>
    <w:rsid w:val="003812E9"/>
    <w:rsid w:val="00382DE4"/>
    <w:rsid w:val="003A11D6"/>
    <w:rsid w:val="003A7653"/>
    <w:rsid w:val="003A7D68"/>
    <w:rsid w:val="003C0854"/>
    <w:rsid w:val="003C378D"/>
    <w:rsid w:val="003D1965"/>
    <w:rsid w:val="003D63DB"/>
    <w:rsid w:val="003E124F"/>
    <w:rsid w:val="003E7F6C"/>
    <w:rsid w:val="003F720C"/>
    <w:rsid w:val="00401702"/>
    <w:rsid w:val="004023EC"/>
    <w:rsid w:val="00404B9E"/>
    <w:rsid w:val="0040536D"/>
    <w:rsid w:val="00407FEB"/>
    <w:rsid w:val="00410D47"/>
    <w:rsid w:val="00412B57"/>
    <w:rsid w:val="00416DED"/>
    <w:rsid w:val="00417253"/>
    <w:rsid w:val="00417525"/>
    <w:rsid w:val="004308D0"/>
    <w:rsid w:val="00434487"/>
    <w:rsid w:val="00445D6E"/>
    <w:rsid w:val="004531DD"/>
    <w:rsid w:val="00455AE1"/>
    <w:rsid w:val="0046329E"/>
    <w:rsid w:val="004638DD"/>
    <w:rsid w:val="00463EB3"/>
    <w:rsid w:val="0047233D"/>
    <w:rsid w:val="00477CF8"/>
    <w:rsid w:val="00484C36"/>
    <w:rsid w:val="004915E9"/>
    <w:rsid w:val="00491D16"/>
    <w:rsid w:val="0049409A"/>
    <w:rsid w:val="004A6DB4"/>
    <w:rsid w:val="004B3B7D"/>
    <w:rsid w:val="004B7F1E"/>
    <w:rsid w:val="004C1A37"/>
    <w:rsid w:val="004C37FD"/>
    <w:rsid w:val="004C4036"/>
    <w:rsid w:val="004D0D61"/>
    <w:rsid w:val="004E0A6E"/>
    <w:rsid w:val="004E3305"/>
    <w:rsid w:val="004E43DC"/>
    <w:rsid w:val="004E5A9F"/>
    <w:rsid w:val="004F14AE"/>
    <w:rsid w:val="00502C46"/>
    <w:rsid w:val="005034E0"/>
    <w:rsid w:val="005068BE"/>
    <w:rsid w:val="00513F23"/>
    <w:rsid w:val="00517ACF"/>
    <w:rsid w:val="005208E6"/>
    <w:rsid w:val="005215BF"/>
    <w:rsid w:val="0052356D"/>
    <w:rsid w:val="00523D1A"/>
    <w:rsid w:val="00524FA5"/>
    <w:rsid w:val="00526862"/>
    <w:rsid w:val="00543F97"/>
    <w:rsid w:val="00552A38"/>
    <w:rsid w:val="00566938"/>
    <w:rsid w:val="0057442B"/>
    <w:rsid w:val="0057570F"/>
    <w:rsid w:val="005770D3"/>
    <w:rsid w:val="0058796A"/>
    <w:rsid w:val="00592F9F"/>
    <w:rsid w:val="0059564E"/>
    <w:rsid w:val="005A21F2"/>
    <w:rsid w:val="005A3F8E"/>
    <w:rsid w:val="005B0A9F"/>
    <w:rsid w:val="005B278F"/>
    <w:rsid w:val="005B5312"/>
    <w:rsid w:val="005C7282"/>
    <w:rsid w:val="005C736C"/>
    <w:rsid w:val="005D058F"/>
    <w:rsid w:val="005D3EF1"/>
    <w:rsid w:val="005D77F4"/>
    <w:rsid w:val="005E095B"/>
    <w:rsid w:val="005E0DF3"/>
    <w:rsid w:val="005E2364"/>
    <w:rsid w:val="005F2CEF"/>
    <w:rsid w:val="005F494B"/>
    <w:rsid w:val="006045AB"/>
    <w:rsid w:val="006115E5"/>
    <w:rsid w:val="0061534F"/>
    <w:rsid w:val="0062329B"/>
    <w:rsid w:val="00630C14"/>
    <w:rsid w:val="00632932"/>
    <w:rsid w:val="00633598"/>
    <w:rsid w:val="00640B5E"/>
    <w:rsid w:val="00642FC9"/>
    <w:rsid w:val="0065085F"/>
    <w:rsid w:val="00651760"/>
    <w:rsid w:val="00654829"/>
    <w:rsid w:val="00656256"/>
    <w:rsid w:val="00656DDF"/>
    <w:rsid w:val="006642F2"/>
    <w:rsid w:val="00666BDF"/>
    <w:rsid w:val="00671B5A"/>
    <w:rsid w:val="00680A5B"/>
    <w:rsid w:val="006833C3"/>
    <w:rsid w:val="00684771"/>
    <w:rsid w:val="00692FCF"/>
    <w:rsid w:val="006944E8"/>
    <w:rsid w:val="00696CE9"/>
    <w:rsid w:val="006A19BC"/>
    <w:rsid w:val="006A5BB9"/>
    <w:rsid w:val="006C3C4E"/>
    <w:rsid w:val="006C3DC4"/>
    <w:rsid w:val="006C585E"/>
    <w:rsid w:val="006C6C4A"/>
    <w:rsid w:val="006D266D"/>
    <w:rsid w:val="006D6032"/>
    <w:rsid w:val="006D6BCD"/>
    <w:rsid w:val="006D6FFB"/>
    <w:rsid w:val="006E2826"/>
    <w:rsid w:val="006E5A13"/>
    <w:rsid w:val="006F1C0D"/>
    <w:rsid w:val="006F3EF3"/>
    <w:rsid w:val="006F64A1"/>
    <w:rsid w:val="00704D8F"/>
    <w:rsid w:val="00706B5B"/>
    <w:rsid w:val="00707A86"/>
    <w:rsid w:val="007111FA"/>
    <w:rsid w:val="00712946"/>
    <w:rsid w:val="00712D33"/>
    <w:rsid w:val="007147DA"/>
    <w:rsid w:val="00715926"/>
    <w:rsid w:val="00717259"/>
    <w:rsid w:val="00720073"/>
    <w:rsid w:val="007271F2"/>
    <w:rsid w:val="0072799F"/>
    <w:rsid w:val="0073475D"/>
    <w:rsid w:val="00743AE9"/>
    <w:rsid w:val="00746049"/>
    <w:rsid w:val="00747688"/>
    <w:rsid w:val="007478DB"/>
    <w:rsid w:val="00752996"/>
    <w:rsid w:val="00765ECB"/>
    <w:rsid w:val="0076721E"/>
    <w:rsid w:val="00770ED5"/>
    <w:rsid w:val="0078337C"/>
    <w:rsid w:val="00790C4B"/>
    <w:rsid w:val="0079461E"/>
    <w:rsid w:val="007955EB"/>
    <w:rsid w:val="00797B99"/>
    <w:rsid w:val="007A1E6F"/>
    <w:rsid w:val="007B09DB"/>
    <w:rsid w:val="007B200D"/>
    <w:rsid w:val="007B2D92"/>
    <w:rsid w:val="007B3D1D"/>
    <w:rsid w:val="007C23FB"/>
    <w:rsid w:val="007C6339"/>
    <w:rsid w:val="007D3AB2"/>
    <w:rsid w:val="007D607B"/>
    <w:rsid w:val="007D7438"/>
    <w:rsid w:val="007E27FF"/>
    <w:rsid w:val="007E3A96"/>
    <w:rsid w:val="008014ED"/>
    <w:rsid w:val="008069D2"/>
    <w:rsid w:val="00810B3F"/>
    <w:rsid w:val="008218A1"/>
    <w:rsid w:val="00821EDF"/>
    <w:rsid w:val="00834E41"/>
    <w:rsid w:val="00842A24"/>
    <w:rsid w:val="00843B30"/>
    <w:rsid w:val="00850535"/>
    <w:rsid w:val="008543F5"/>
    <w:rsid w:val="008663BC"/>
    <w:rsid w:val="00866A7D"/>
    <w:rsid w:val="008675EE"/>
    <w:rsid w:val="00867FCC"/>
    <w:rsid w:val="0087039C"/>
    <w:rsid w:val="00873F91"/>
    <w:rsid w:val="008813AA"/>
    <w:rsid w:val="00882641"/>
    <w:rsid w:val="00886273"/>
    <w:rsid w:val="00886D57"/>
    <w:rsid w:val="00897EBF"/>
    <w:rsid w:val="008A6803"/>
    <w:rsid w:val="008B55DB"/>
    <w:rsid w:val="008B68D6"/>
    <w:rsid w:val="008C2704"/>
    <w:rsid w:val="008C617D"/>
    <w:rsid w:val="008D07FF"/>
    <w:rsid w:val="008E0099"/>
    <w:rsid w:val="008E291C"/>
    <w:rsid w:val="008E36CF"/>
    <w:rsid w:val="008E3A91"/>
    <w:rsid w:val="008E4024"/>
    <w:rsid w:val="008E758C"/>
    <w:rsid w:val="008E788B"/>
    <w:rsid w:val="008F2986"/>
    <w:rsid w:val="008F7B11"/>
    <w:rsid w:val="00903321"/>
    <w:rsid w:val="00903370"/>
    <w:rsid w:val="009049FA"/>
    <w:rsid w:val="009075C0"/>
    <w:rsid w:val="009143DF"/>
    <w:rsid w:val="00921F05"/>
    <w:rsid w:val="00931142"/>
    <w:rsid w:val="00932803"/>
    <w:rsid w:val="009363C7"/>
    <w:rsid w:val="00937EAB"/>
    <w:rsid w:val="00937F8C"/>
    <w:rsid w:val="00942360"/>
    <w:rsid w:val="00950992"/>
    <w:rsid w:val="00954303"/>
    <w:rsid w:val="009547C0"/>
    <w:rsid w:val="00955788"/>
    <w:rsid w:val="00957675"/>
    <w:rsid w:val="00960A3E"/>
    <w:rsid w:val="0096184B"/>
    <w:rsid w:val="00972E34"/>
    <w:rsid w:val="00977C03"/>
    <w:rsid w:val="00980776"/>
    <w:rsid w:val="009853E4"/>
    <w:rsid w:val="009912BE"/>
    <w:rsid w:val="00991F3F"/>
    <w:rsid w:val="0099279A"/>
    <w:rsid w:val="009A0769"/>
    <w:rsid w:val="009A42D3"/>
    <w:rsid w:val="009B1596"/>
    <w:rsid w:val="009B1617"/>
    <w:rsid w:val="009B556E"/>
    <w:rsid w:val="009C2CC8"/>
    <w:rsid w:val="009C3A59"/>
    <w:rsid w:val="009C657F"/>
    <w:rsid w:val="009D12C2"/>
    <w:rsid w:val="009D17D3"/>
    <w:rsid w:val="009D212C"/>
    <w:rsid w:val="009F3817"/>
    <w:rsid w:val="00A005CF"/>
    <w:rsid w:val="00A06AAA"/>
    <w:rsid w:val="00A128D9"/>
    <w:rsid w:val="00A211C3"/>
    <w:rsid w:val="00A30A31"/>
    <w:rsid w:val="00A326CF"/>
    <w:rsid w:val="00A34CD3"/>
    <w:rsid w:val="00A36633"/>
    <w:rsid w:val="00A37C0A"/>
    <w:rsid w:val="00A424C6"/>
    <w:rsid w:val="00A43FC1"/>
    <w:rsid w:val="00A46B2C"/>
    <w:rsid w:val="00A57508"/>
    <w:rsid w:val="00A72E00"/>
    <w:rsid w:val="00A73E39"/>
    <w:rsid w:val="00A7486B"/>
    <w:rsid w:val="00A7530A"/>
    <w:rsid w:val="00A91D85"/>
    <w:rsid w:val="00A950C1"/>
    <w:rsid w:val="00A961E1"/>
    <w:rsid w:val="00AA79FA"/>
    <w:rsid w:val="00AB161A"/>
    <w:rsid w:val="00AC4DAE"/>
    <w:rsid w:val="00AC7280"/>
    <w:rsid w:val="00AD18FB"/>
    <w:rsid w:val="00AD73AE"/>
    <w:rsid w:val="00AE3CEE"/>
    <w:rsid w:val="00AE4E63"/>
    <w:rsid w:val="00B102C9"/>
    <w:rsid w:val="00B200B3"/>
    <w:rsid w:val="00B27851"/>
    <w:rsid w:val="00B401F5"/>
    <w:rsid w:val="00B46DFB"/>
    <w:rsid w:val="00B54148"/>
    <w:rsid w:val="00B54418"/>
    <w:rsid w:val="00B56EC1"/>
    <w:rsid w:val="00B602F7"/>
    <w:rsid w:val="00B61DDC"/>
    <w:rsid w:val="00B70093"/>
    <w:rsid w:val="00B7741C"/>
    <w:rsid w:val="00B77D7A"/>
    <w:rsid w:val="00B8090B"/>
    <w:rsid w:val="00B83F47"/>
    <w:rsid w:val="00BA3C4A"/>
    <w:rsid w:val="00BA41A7"/>
    <w:rsid w:val="00BC0BB4"/>
    <w:rsid w:val="00BC557A"/>
    <w:rsid w:val="00BC56EB"/>
    <w:rsid w:val="00BE0C45"/>
    <w:rsid w:val="00BE243A"/>
    <w:rsid w:val="00BF073D"/>
    <w:rsid w:val="00BF6874"/>
    <w:rsid w:val="00C10302"/>
    <w:rsid w:val="00C15CE0"/>
    <w:rsid w:val="00C17018"/>
    <w:rsid w:val="00C30918"/>
    <w:rsid w:val="00C412DF"/>
    <w:rsid w:val="00C46EC1"/>
    <w:rsid w:val="00C472A8"/>
    <w:rsid w:val="00C578D1"/>
    <w:rsid w:val="00C613C1"/>
    <w:rsid w:val="00C6206C"/>
    <w:rsid w:val="00C83989"/>
    <w:rsid w:val="00CA1A09"/>
    <w:rsid w:val="00CB1234"/>
    <w:rsid w:val="00CB3882"/>
    <w:rsid w:val="00CC1967"/>
    <w:rsid w:val="00CC385A"/>
    <w:rsid w:val="00CD3EC9"/>
    <w:rsid w:val="00CD674A"/>
    <w:rsid w:val="00CD6EFB"/>
    <w:rsid w:val="00CE1308"/>
    <w:rsid w:val="00CE24C5"/>
    <w:rsid w:val="00CE3311"/>
    <w:rsid w:val="00CF154C"/>
    <w:rsid w:val="00CF1BDC"/>
    <w:rsid w:val="00D00909"/>
    <w:rsid w:val="00D059F8"/>
    <w:rsid w:val="00D06AD4"/>
    <w:rsid w:val="00D100D2"/>
    <w:rsid w:val="00D10924"/>
    <w:rsid w:val="00D12EB4"/>
    <w:rsid w:val="00D15714"/>
    <w:rsid w:val="00D17136"/>
    <w:rsid w:val="00D247CE"/>
    <w:rsid w:val="00D24924"/>
    <w:rsid w:val="00D2582D"/>
    <w:rsid w:val="00D270B2"/>
    <w:rsid w:val="00D44805"/>
    <w:rsid w:val="00D45261"/>
    <w:rsid w:val="00D52200"/>
    <w:rsid w:val="00D53464"/>
    <w:rsid w:val="00D5386C"/>
    <w:rsid w:val="00D6015A"/>
    <w:rsid w:val="00D617FC"/>
    <w:rsid w:val="00D64448"/>
    <w:rsid w:val="00D663A8"/>
    <w:rsid w:val="00D66FA2"/>
    <w:rsid w:val="00D67930"/>
    <w:rsid w:val="00D719F0"/>
    <w:rsid w:val="00D73489"/>
    <w:rsid w:val="00D757A2"/>
    <w:rsid w:val="00D90334"/>
    <w:rsid w:val="00D9274C"/>
    <w:rsid w:val="00D949F9"/>
    <w:rsid w:val="00D97A32"/>
    <w:rsid w:val="00DA72A3"/>
    <w:rsid w:val="00DB6806"/>
    <w:rsid w:val="00DC6060"/>
    <w:rsid w:val="00DD05C9"/>
    <w:rsid w:val="00DD1039"/>
    <w:rsid w:val="00DD6183"/>
    <w:rsid w:val="00DD7113"/>
    <w:rsid w:val="00DE2410"/>
    <w:rsid w:val="00DF2096"/>
    <w:rsid w:val="00DF7F0C"/>
    <w:rsid w:val="00E04E65"/>
    <w:rsid w:val="00E123F4"/>
    <w:rsid w:val="00E12768"/>
    <w:rsid w:val="00E1759B"/>
    <w:rsid w:val="00E20390"/>
    <w:rsid w:val="00E315B9"/>
    <w:rsid w:val="00E32395"/>
    <w:rsid w:val="00E34358"/>
    <w:rsid w:val="00E34A01"/>
    <w:rsid w:val="00E365AB"/>
    <w:rsid w:val="00E50AAB"/>
    <w:rsid w:val="00E50B10"/>
    <w:rsid w:val="00E5760B"/>
    <w:rsid w:val="00E6558D"/>
    <w:rsid w:val="00E663FB"/>
    <w:rsid w:val="00E665A7"/>
    <w:rsid w:val="00E6779D"/>
    <w:rsid w:val="00E707CD"/>
    <w:rsid w:val="00E71D11"/>
    <w:rsid w:val="00E75F1D"/>
    <w:rsid w:val="00E76B1A"/>
    <w:rsid w:val="00E8251D"/>
    <w:rsid w:val="00E865F2"/>
    <w:rsid w:val="00E94067"/>
    <w:rsid w:val="00EA5978"/>
    <w:rsid w:val="00EB3C54"/>
    <w:rsid w:val="00EB53B4"/>
    <w:rsid w:val="00EB5529"/>
    <w:rsid w:val="00EB7051"/>
    <w:rsid w:val="00EB777D"/>
    <w:rsid w:val="00EC250A"/>
    <w:rsid w:val="00EC7DC4"/>
    <w:rsid w:val="00ED00A9"/>
    <w:rsid w:val="00ED1B56"/>
    <w:rsid w:val="00EE42A0"/>
    <w:rsid w:val="00EE4CFC"/>
    <w:rsid w:val="00EF0611"/>
    <w:rsid w:val="00EF0ACE"/>
    <w:rsid w:val="00F03BDF"/>
    <w:rsid w:val="00F065D0"/>
    <w:rsid w:val="00F06772"/>
    <w:rsid w:val="00F06900"/>
    <w:rsid w:val="00F06CB3"/>
    <w:rsid w:val="00F06F23"/>
    <w:rsid w:val="00F1177C"/>
    <w:rsid w:val="00F23204"/>
    <w:rsid w:val="00F24E2E"/>
    <w:rsid w:val="00F306A0"/>
    <w:rsid w:val="00F35BAE"/>
    <w:rsid w:val="00F40C4A"/>
    <w:rsid w:val="00F41DA0"/>
    <w:rsid w:val="00F422A3"/>
    <w:rsid w:val="00F54024"/>
    <w:rsid w:val="00F55144"/>
    <w:rsid w:val="00F603A5"/>
    <w:rsid w:val="00F754BA"/>
    <w:rsid w:val="00F82402"/>
    <w:rsid w:val="00F91A97"/>
    <w:rsid w:val="00F94895"/>
    <w:rsid w:val="00FA511C"/>
    <w:rsid w:val="00FB01A9"/>
    <w:rsid w:val="00FB1B6F"/>
    <w:rsid w:val="00FC61C4"/>
    <w:rsid w:val="00FD0495"/>
    <w:rsid w:val="00FD121C"/>
    <w:rsid w:val="00FE4E31"/>
    <w:rsid w:val="00FE5087"/>
    <w:rsid w:val="00FE6986"/>
    <w:rsid w:val="00FF293E"/>
    <w:rsid w:val="00FF30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9F8"/>
    <w:pPr>
      <w:spacing w:after="200" w:line="276" w:lineRule="auto"/>
    </w:pPr>
    <w:rPr>
      <w:sz w:val="22"/>
      <w:szCs w:val="22"/>
      <w:lang w:eastAsia="en-US"/>
    </w:rPr>
  </w:style>
  <w:style w:type="paragraph" w:styleId="Heading1">
    <w:name w:val="heading 1"/>
    <w:basedOn w:val="Normal"/>
    <w:next w:val="Normal"/>
    <w:link w:val="Heading1Char"/>
    <w:uiPriority w:val="9"/>
    <w:qFormat/>
    <w:rsid w:val="004B7F1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B1B6F"/>
    <w:pPr>
      <w:suppressAutoHyphens/>
      <w:spacing w:after="0" w:line="240" w:lineRule="auto"/>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FB1B6F"/>
    <w:rPr>
      <w:rFonts w:ascii="Times New Roman" w:eastAsia="Times New Roman" w:hAnsi="Times New Roman"/>
      <w:lang w:eastAsia="zh-CN"/>
    </w:rPr>
  </w:style>
  <w:style w:type="character" w:styleId="FootnoteReference">
    <w:name w:val="footnote reference"/>
    <w:basedOn w:val="DefaultParagraphFont"/>
    <w:uiPriority w:val="99"/>
    <w:semiHidden/>
    <w:unhideWhenUsed/>
    <w:rsid w:val="00FB1B6F"/>
    <w:rPr>
      <w:vertAlign w:val="superscript"/>
    </w:rPr>
  </w:style>
  <w:style w:type="character" w:styleId="Hyperlink">
    <w:name w:val="Hyperlink"/>
    <w:basedOn w:val="DefaultParagraphFont"/>
    <w:uiPriority w:val="99"/>
    <w:unhideWhenUsed/>
    <w:rsid w:val="00CE1308"/>
    <w:rPr>
      <w:color w:val="0000FF"/>
      <w:u w:val="single"/>
    </w:rPr>
  </w:style>
  <w:style w:type="paragraph" w:styleId="NormalWeb">
    <w:name w:val="Normal (Web)"/>
    <w:basedOn w:val="Normal"/>
    <w:uiPriority w:val="99"/>
    <w:unhideWhenUsed/>
    <w:rsid w:val="004B7F1E"/>
    <w:rPr>
      <w:rFonts w:ascii="Times New Roman" w:hAnsi="Times New Roman"/>
      <w:sz w:val="24"/>
      <w:szCs w:val="24"/>
    </w:rPr>
  </w:style>
  <w:style w:type="character" w:customStyle="1" w:styleId="Heading1Char">
    <w:name w:val="Heading 1 Char"/>
    <w:basedOn w:val="DefaultParagraphFont"/>
    <w:link w:val="Heading1"/>
    <w:uiPriority w:val="9"/>
    <w:rsid w:val="004B7F1E"/>
    <w:rPr>
      <w:rFonts w:ascii="Cambria" w:eastAsia="Times New Roman" w:hAnsi="Cambria" w:cs="Times New Roman"/>
      <w:b/>
      <w:bCs/>
      <w:kern w:val="32"/>
      <w:sz w:val="32"/>
      <w:szCs w:val="32"/>
      <w:lang w:eastAsia="en-US"/>
    </w:rPr>
  </w:style>
  <w:style w:type="character" w:styleId="Strong">
    <w:name w:val="Strong"/>
    <w:uiPriority w:val="22"/>
    <w:qFormat/>
    <w:rsid w:val="0020061A"/>
    <w:rPr>
      <w:b/>
      <w:bCs/>
    </w:rPr>
  </w:style>
  <w:style w:type="paragraph" w:styleId="BalloonText">
    <w:name w:val="Balloon Text"/>
    <w:basedOn w:val="Normal"/>
    <w:link w:val="BalloonTextChar"/>
    <w:uiPriority w:val="99"/>
    <w:semiHidden/>
    <w:unhideWhenUsed/>
    <w:rsid w:val="00D53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46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15259874">
      <w:bodyDiv w:val="1"/>
      <w:marLeft w:val="0"/>
      <w:marRight w:val="0"/>
      <w:marTop w:val="0"/>
      <w:marBottom w:val="0"/>
      <w:divBdr>
        <w:top w:val="none" w:sz="0" w:space="0" w:color="auto"/>
        <w:left w:val="none" w:sz="0" w:space="0" w:color="auto"/>
        <w:bottom w:val="none" w:sz="0" w:space="0" w:color="auto"/>
        <w:right w:val="none" w:sz="0" w:space="0" w:color="auto"/>
      </w:divBdr>
    </w:div>
    <w:div w:id="1471439387">
      <w:bodyDiv w:val="1"/>
      <w:marLeft w:val="0"/>
      <w:marRight w:val="0"/>
      <w:marTop w:val="0"/>
      <w:marBottom w:val="0"/>
      <w:divBdr>
        <w:top w:val="none" w:sz="0" w:space="0" w:color="auto"/>
        <w:left w:val="none" w:sz="0" w:space="0" w:color="auto"/>
        <w:bottom w:val="none" w:sz="0" w:space="0" w:color="auto"/>
        <w:right w:val="none" w:sz="0" w:space="0" w:color="auto"/>
      </w:divBdr>
      <w:divsChild>
        <w:div w:id="746540914">
          <w:marLeft w:val="0"/>
          <w:marRight w:val="0"/>
          <w:marTop w:val="0"/>
          <w:marBottom w:val="0"/>
          <w:divBdr>
            <w:top w:val="none" w:sz="0" w:space="0" w:color="auto"/>
            <w:left w:val="none" w:sz="0" w:space="0" w:color="auto"/>
            <w:bottom w:val="none" w:sz="0" w:space="0" w:color="auto"/>
            <w:right w:val="none" w:sz="0" w:space="0" w:color="auto"/>
          </w:divBdr>
          <w:divsChild>
            <w:div w:id="1812207115">
              <w:marLeft w:val="0"/>
              <w:marRight w:val="0"/>
              <w:marTop w:val="0"/>
              <w:marBottom w:val="0"/>
              <w:divBdr>
                <w:top w:val="none" w:sz="0" w:space="0" w:color="auto"/>
                <w:left w:val="none" w:sz="0" w:space="0" w:color="auto"/>
                <w:bottom w:val="none" w:sz="0" w:space="0" w:color="auto"/>
                <w:right w:val="none" w:sz="0" w:space="0" w:color="auto"/>
              </w:divBdr>
              <w:divsChild>
                <w:div w:id="19067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7849">
          <w:marLeft w:val="0"/>
          <w:marRight w:val="0"/>
          <w:marTop w:val="54"/>
          <w:marBottom w:val="0"/>
          <w:divBdr>
            <w:top w:val="none" w:sz="0" w:space="0" w:color="auto"/>
            <w:left w:val="none" w:sz="0" w:space="0" w:color="auto"/>
            <w:bottom w:val="none" w:sz="0" w:space="0" w:color="auto"/>
            <w:right w:val="none" w:sz="0" w:space="0" w:color="auto"/>
          </w:divBdr>
        </w:div>
      </w:divsChild>
    </w:div>
    <w:div w:id="1581475794">
      <w:bodyDiv w:val="1"/>
      <w:marLeft w:val="0"/>
      <w:marRight w:val="0"/>
      <w:marTop w:val="0"/>
      <w:marBottom w:val="0"/>
      <w:divBdr>
        <w:top w:val="none" w:sz="0" w:space="0" w:color="auto"/>
        <w:left w:val="none" w:sz="0" w:space="0" w:color="auto"/>
        <w:bottom w:val="none" w:sz="0" w:space="0" w:color="auto"/>
        <w:right w:val="none" w:sz="0" w:space="0" w:color="auto"/>
      </w:divBdr>
    </w:div>
    <w:div w:id="1592004594">
      <w:bodyDiv w:val="1"/>
      <w:marLeft w:val="0"/>
      <w:marRight w:val="0"/>
      <w:marTop w:val="0"/>
      <w:marBottom w:val="0"/>
      <w:divBdr>
        <w:top w:val="none" w:sz="0" w:space="0" w:color="auto"/>
        <w:left w:val="none" w:sz="0" w:space="0" w:color="auto"/>
        <w:bottom w:val="none" w:sz="0" w:space="0" w:color="auto"/>
        <w:right w:val="none" w:sz="0" w:space="0" w:color="auto"/>
      </w:divBdr>
    </w:div>
    <w:div w:id="1657031164">
      <w:bodyDiv w:val="1"/>
      <w:marLeft w:val="0"/>
      <w:marRight w:val="0"/>
      <w:marTop w:val="0"/>
      <w:marBottom w:val="0"/>
      <w:divBdr>
        <w:top w:val="none" w:sz="0" w:space="0" w:color="auto"/>
        <w:left w:val="none" w:sz="0" w:space="0" w:color="auto"/>
        <w:bottom w:val="none" w:sz="0" w:space="0" w:color="auto"/>
        <w:right w:val="none" w:sz="0" w:space="0" w:color="auto"/>
      </w:divBdr>
      <w:divsChild>
        <w:div w:id="942031008">
          <w:marLeft w:val="0"/>
          <w:marRight w:val="0"/>
          <w:marTop w:val="0"/>
          <w:marBottom w:val="0"/>
          <w:divBdr>
            <w:top w:val="none" w:sz="0" w:space="0" w:color="auto"/>
            <w:left w:val="none" w:sz="0" w:space="0" w:color="auto"/>
            <w:bottom w:val="none" w:sz="0" w:space="0" w:color="auto"/>
            <w:right w:val="none" w:sz="0" w:space="0" w:color="auto"/>
          </w:divBdr>
          <w:divsChild>
            <w:div w:id="1250774333">
              <w:marLeft w:val="0"/>
              <w:marRight w:val="0"/>
              <w:marTop w:val="0"/>
              <w:marBottom w:val="0"/>
              <w:divBdr>
                <w:top w:val="none" w:sz="0" w:space="0" w:color="auto"/>
                <w:left w:val="none" w:sz="0" w:space="0" w:color="auto"/>
                <w:bottom w:val="none" w:sz="0" w:space="0" w:color="auto"/>
                <w:right w:val="none" w:sz="0" w:space="0" w:color="auto"/>
              </w:divBdr>
              <w:divsChild>
                <w:div w:id="12212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00551">
          <w:marLeft w:val="0"/>
          <w:marRight w:val="0"/>
          <w:marTop w:val="54"/>
          <w:marBottom w:val="0"/>
          <w:divBdr>
            <w:top w:val="none" w:sz="0" w:space="0" w:color="auto"/>
            <w:left w:val="none" w:sz="0" w:space="0" w:color="auto"/>
            <w:bottom w:val="none" w:sz="0" w:space="0" w:color="auto"/>
            <w:right w:val="none" w:sz="0" w:space="0" w:color="auto"/>
          </w:divBdr>
        </w:div>
      </w:divsChild>
    </w:div>
    <w:div w:id="176622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dustry.gov.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is.research.org.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dustry.gov.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ilenews.com/oikonomia/kypros/article/1447777/akel-mechri-telous-i-dierevnisi-gia-to-termatiko-igropiisis-fa/" TargetMode="External"/><Relationship Id="rId5" Type="http://schemas.openxmlformats.org/officeDocument/2006/relationships/webSettings" Target="webSettings.xml"/><Relationship Id="rId15" Type="http://schemas.openxmlformats.org/officeDocument/2006/relationships/hyperlink" Target="https://www.philenews.com/tag/vasiliko/" TargetMode="External"/><Relationship Id="rId10" Type="http://schemas.openxmlformats.org/officeDocument/2006/relationships/hyperlink" Target="https://www.philenews.com/tag/epitropi-energias/" TargetMode="External"/><Relationship Id="rId4" Type="http://schemas.openxmlformats.org/officeDocument/2006/relationships/settings" Target="settings.xml"/><Relationship Id="rId9" Type="http://schemas.openxmlformats.org/officeDocument/2006/relationships/hyperlink" Target="https://www.philenews.com/oikonomia/kypros/article/1447777/akel-mechri-telous-i-dierevnisi-gia-to-termatiko-igropiisis-fa/" TargetMode="External"/><Relationship Id="rId14" Type="http://schemas.openxmlformats.org/officeDocument/2006/relationships/hyperlink" Target="https://www.philenews.com/oikonomia/kypros/article/1431974/emplexe-ke-sto-dikastirio-to-termatiko-fisikou-aeri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FCE22-8106-47DD-9504-5F51D489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16117</Words>
  <Characters>87033</Characters>
  <Application>Microsoft Office Word</Application>
  <DocSecurity>0</DocSecurity>
  <Lines>725</Lines>
  <Paragraphs>205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102945</CharactersWithSpaces>
  <SharedDoc>false</SharedDoc>
  <HLinks>
    <vt:vector size="48" baseType="variant">
      <vt:variant>
        <vt:i4>196698</vt:i4>
      </vt:variant>
      <vt:variant>
        <vt:i4>21</vt:i4>
      </vt:variant>
      <vt:variant>
        <vt:i4>0</vt:i4>
      </vt:variant>
      <vt:variant>
        <vt:i4>5</vt:i4>
      </vt:variant>
      <vt:variant>
        <vt:lpwstr>https://www.industry.gov.cy/</vt:lpwstr>
      </vt:variant>
      <vt:variant>
        <vt:lpwstr/>
      </vt:variant>
      <vt:variant>
        <vt:i4>8060981</vt:i4>
      </vt:variant>
      <vt:variant>
        <vt:i4>18</vt:i4>
      </vt:variant>
      <vt:variant>
        <vt:i4>0</vt:i4>
      </vt:variant>
      <vt:variant>
        <vt:i4>5</vt:i4>
      </vt:variant>
      <vt:variant>
        <vt:lpwstr>https://www.philenews.com/tag/vasiliko/</vt:lpwstr>
      </vt:variant>
      <vt:variant>
        <vt:lpwstr/>
      </vt:variant>
      <vt:variant>
        <vt:i4>4391001</vt:i4>
      </vt:variant>
      <vt:variant>
        <vt:i4>15</vt:i4>
      </vt:variant>
      <vt:variant>
        <vt:i4>0</vt:i4>
      </vt:variant>
      <vt:variant>
        <vt:i4>5</vt:i4>
      </vt:variant>
      <vt:variant>
        <vt:lpwstr>https://www.philenews.com/oikonomia/kypros/article/1431974/emplexe-ke-sto-dikastirio-to-termatiko-fisikou-aeriou/</vt:lpwstr>
      </vt:variant>
      <vt:variant>
        <vt:lpwstr/>
      </vt:variant>
      <vt:variant>
        <vt:i4>196698</vt:i4>
      </vt:variant>
      <vt:variant>
        <vt:i4>12</vt:i4>
      </vt:variant>
      <vt:variant>
        <vt:i4>0</vt:i4>
      </vt:variant>
      <vt:variant>
        <vt:i4>5</vt:i4>
      </vt:variant>
      <vt:variant>
        <vt:lpwstr>https://www.industry.gov.cy/</vt:lpwstr>
      </vt:variant>
      <vt:variant>
        <vt:lpwstr/>
      </vt:variant>
      <vt:variant>
        <vt:i4>1572895</vt:i4>
      </vt:variant>
      <vt:variant>
        <vt:i4>9</vt:i4>
      </vt:variant>
      <vt:variant>
        <vt:i4>0</vt:i4>
      </vt:variant>
      <vt:variant>
        <vt:i4>5</vt:i4>
      </vt:variant>
      <vt:variant>
        <vt:lpwstr>https://iris.research.org.cy/</vt:lpwstr>
      </vt:variant>
      <vt:variant>
        <vt:lpwstr/>
      </vt:variant>
      <vt:variant>
        <vt:i4>7995429</vt:i4>
      </vt:variant>
      <vt:variant>
        <vt:i4>6</vt:i4>
      </vt:variant>
      <vt:variant>
        <vt:i4>0</vt:i4>
      </vt:variant>
      <vt:variant>
        <vt:i4>5</vt:i4>
      </vt:variant>
      <vt:variant>
        <vt:lpwstr>https://www.philenews.com/oikonomia/kypros/article/1447777/akel-mechri-telous-i-dierevnisi-gia-to-termatiko-igropiisis-fa/</vt:lpwstr>
      </vt:variant>
      <vt:variant>
        <vt:lpwstr/>
      </vt:variant>
      <vt:variant>
        <vt:i4>6160402</vt:i4>
      </vt:variant>
      <vt:variant>
        <vt:i4>3</vt:i4>
      </vt:variant>
      <vt:variant>
        <vt:i4>0</vt:i4>
      </vt:variant>
      <vt:variant>
        <vt:i4>5</vt:i4>
      </vt:variant>
      <vt:variant>
        <vt:lpwstr>https://www.philenews.com/tag/epitropi-energias/</vt:lpwstr>
      </vt:variant>
      <vt:variant>
        <vt:lpwstr/>
      </vt:variant>
      <vt:variant>
        <vt:i4>7995429</vt:i4>
      </vt:variant>
      <vt:variant>
        <vt:i4>0</vt:i4>
      </vt:variant>
      <vt:variant>
        <vt:i4>0</vt:i4>
      </vt:variant>
      <vt:variant>
        <vt:i4>5</vt:i4>
      </vt:variant>
      <vt:variant>
        <vt:lpwstr>https://www.philenews.com/oikonomia/kypros/article/1447777/akel-mechri-telous-i-dierevnisi-gia-to-termatiko-igropiisis-fa/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OEY2</dc:creator>
  <cp:lastModifiedBy>User</cp:lastModifiedBy>
  <cp:revision>4</cp:revision>
  <cp:lastPrinted>2023-02-13T11:09:00Z</cp:lastPrinted>
  <dcterms:created xsi:type="dcterms:W3CDTF">2024-05-21T08:11:00Z</dcterms:created>
  <dcterms:modified xsi:type="dcterms:W3CDTF">2024-05-21T13:39:00Z</dcterms:modified>
</cp:coreProperties>
</file>