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1C13" w14:textId="2C8C1E8F" w:rsidR="005A5D86" w:rsidRDefault="00B71CC7" w:rsidP="005A5D86">
      <w:pPr>
        <w:jc w:val="center"/>
        <w:rPr>
          <w:rFonts w:asciiTheme="majorHAnsi" w:hAnsiTheme="majorHAnsi"/>
          <w:sz w:val="32"/>
          <w:szCs w:val="32"/>
          <w:lang w:val="el-GR"/>
        </w:rPr>
      </w:pPr>
      <w:r>
        <w:rPr>
          <w:noProof/>
        </w:rPr>
        <w:drawing>
          <wp:inline distT="0" distB="0" distL="0" distR="0" wp14:anchorId="40388F3D" wp14:editId="54DBEA2E">
            <wp:extent cx="3383280" cy="750858"/>
            <wp:effectExtent l="0" t="0" r="7620" b="0"/>
            <wp:docPr id="919146702" name="Picture 91914670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8049" cy="75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004F" w14:textId="77777777" w:rsidR="005A5D86" w:rsidRPr="001A74D0" w:rsidRDefault="005A5D86" w:rsidP="005A5D86">
      <w:pPr>
        <w:jc w:val="center"/>
        <w:rPr>
          <w:rFonts w:ascii="Aptos Narrow" w:hAnsi="Aptos Narrow"/>
          <w:b/>
          <w:bCs/>
          <w:sz w:val="22"/>
          <w:szCs w:val="22"/>
          <w:u w:val="single"/>
          <w:lang w:val="el-GR"/>
        </w:rPr>
      </w:pPr>
    </w:p>
    <w:p w14:paraId="5881B6D5" w14:textId="77777777" w:rsidR="005A5D86" w:rsidRPr="00C92ECC" w:rsidRDefault="005A5D86" w:rsidP="005A5D86">
      <w:pPr>
        <w:jc w:val="center"/>
        <w:rPr>
          <w:rFonts w:ascii="Arial" w:hAnsi="Arial" w:cs="Arial"/>
          <w:b/>
          <w:bCs/>
          <w:u w:val="single"/>
          <w:lang w:val="el-GR"/>
        </w:rPr>
      </w:pPr>
      <w:r w:rsidRPr="00C92ECC">
        <w:rPr>
          <w:rFonts w:ascii="Arial" w:hAnsi="Arial" w:cs="Arial"/>
          <w:b/>
          <w:bCs/>
          <w:u w:val="single"/>
          <w:lang w:val="el-GR"/>
        </w:rPr>
        <w:t>Δελτίο Τύπου</w:t>
      </w:r>
    </w:p>
    <w:p w14:paraId="034FE4F2" w14:textId="518A4A54" w:rsidR="005A5D86" w:rsidRPr="00C92ECC" w:rsidRDefault="005A5D86" w:rsidP="005A5D86">
      <w:pPr>
        <w:ind w:left="6480"/>
        <w:jc w:val="center"/>
        <w:rPr>
          <w:rFonts w:ascii="Arial" w:hAnsi="Arial" w:cs="Arial"/>
          <w:sz w:val="22"/>
          <w:szCs w:val="22"/>
          <w:u w:val="single"/>
          <w:lang w:val="el-GR"/>
        </w:rPr>
      </w:pPr>
      <w:r w:rsidRPr="001D1DDE">
        <w:rPr>
          <w:rFonts w:ascii="Arial" w:hAnsi="Arial" w:cs="Arial"/>
          <w:sz w:val="22"/>
          <w:szCs w:val="22"/>
          <w:lang w:val="el-GR"/>
        </w:rPr>
        <w:t xml:space="preserve">Αθήνα, </w:t>
      </w:r>
      <w:r w:rsidR="00073E2A" w:rsidRPr="001D1DDE">
        <w:rPr>
          <w:rFonts w:ascii="Arial" w:hAnsi="Arial" w:cs="Arial"/>
          <w:sz w:val="22"/>
          <w:szCs w:val="22"/>
          <w:lang w:val="el-GR"/>
        </w:rPr>
        <w:t>1</w:t>
      </w:r>
      <w:r w:rsidR="001D1DDE" w:rsidRPr="001D1DDE">
        <w:rPr>
          <w:rFonts w:ascii="Arial" w:hAnsi="Arial" w:cs="Arial"/>
          <w:sz w:val="22"/>
          <w:szCs w:val="22"/>
          <w:lang w:val="en-US"/>
        </w:rPr>
        <w:t>2</w:t>
      </w:r>
      <w:r w:rsidRPr="001D1DDE">
        <w:rPr>
          <w:rFonts w:ascii="Arial" w:hAnsi="Arial" w:cs="Arial"/>
          <w:sz w:val="22"/>
          <w:szCs w:val="22"/>
          <w:lang w:val="el-GR"/>
        </w:rPr>
        <w:t xml:space="preserve"> Ιουνίου 2025</w:t>
      </w:r>
    </w:p>
    <w:p w14:paraId="506B03F4" w14:textId="7F462FCA" w:rsidR="005A5D86" w:rsidRPr="000A3E9E" w:rsidRDefault="00E71C58" w:rsidP="00B16A7B">
      <w:pPr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E71C58">
        <w:rPr>
          <w:rFonts w:ascii="Arial" w:hAnsi="Arial" w:cs="Arial"/>
          <w:b/>
          <w:bCs/>
          <w:sz w:val="22"/>
          <w:szCs w:val="22"/>
          <w:lang w:val="el-GR"/>
        </w:rPr>
        <w:t>ElvalHalcor</w:t>
      </w:r>
      <w:r>
        <w:rPr>
          <w:rFonts w:ascii="Arial" w:hAnsi="Arial" w:cs="Arial"/>
          <w:b/>
          <w:bCs/>
          <w:sz w:val="22"/>
          <w:szCs w:val="22"/>
          <w:lang w:val="el-GR"/>
        </w:rPr>
        <w:t>:</w:t>
      </w:r>
      <w:r w:rsidRPr="00E71C58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26654E">
        <w:rPr>
          <w:rFonts w:ascii="Arial" w:hAnsi="Arial" w:cs="Arial"/>
          <w:b/>
          <w:bCs/>
          <w:sz w:val="22"/>
          <w:szCs w:val="22"/>
          <w:lang w:val="el-GR"/>
        </w:rPr>
        <w:t>Τιμητική διάκριση</w:t>
      </w:r>
      <w:r w:rsidR="005D58F8" w:rsidRPr="00C92ECC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2C597A" w:rsidRPr="00C92ECC">
        <w:rPr>
          <w:rFonts w:ascii="Arial" w:hAnsi="Arial" w:cs="Arial"/>
          <w:b/>
          <w:bCs/>
          <w:sz w:val="22"/>
          <w:szCs w:val="22"/>
          <w:lang w:val="el-GR"/>
        </w:rPr>
        <w:t xml:space="preserve">για τη συμβολή </w:t>
      </w:r>
      <w:r>
        <w:rPr>
          <w:rFonts w:ascii="Arial" w:hAnsi="Arial" w:cs="Arial"/>
          <w:b/>
          <w:bCs/>
          <w:sz w:val="22"/>
          <w:szCs w:val="22"/>
          <w:lang w:val="el-GR"/>
        </w:rPr>
        <w:t>της</w:t>
      </w:r>
      <w:r w:rsidR="00073E2A">
        <w:rPr>
          <w:rFonts w:ascii="Arial" w:hAnsi="Arial" w:cs="Arial"/>
          <w:b/>
          <w:bCs/>
          <w:sz w:val="22"/>
          <w:szCs w:val="22"/>
          <w:lang w:val="el-GR"/>
        </w:rPr>
        <w:t xml:space="preserve"> στην εξωστρέφεια της ελληνικής βιομηχανίας </w:t>
      </w:r>
      <w:r w:rsidR="00A17CD5">
        <w:rPr>
          <w:rFonts w:ascii="Arial" w:hAnsi="Arial" w:cs="Arial"/>
          <w:b/>
          <w:bCs/>
          <w:sz w:val="22"/>
          <w:szCs w:val="22"/>
          <w:lang w:val="el-GR"/>
        </w:rPr>
        <w:t xml:space="preserve">από τον </w:t>
      </w:r>
      <w:r w:rsidR="00A87B2F" w:rsidRPr="00C92ECC">
        <w:rPr>
          <w:rFonts w:ascii="Arial" w:hAnsi="Arial" w:cs="Arial"/>
          <w:b/>
          <w:bCs/>
          <w:sz w:val="22"/>
          <w:szCs w:val="22"/>
          <w:lang w:val="el-GR"/>
        </w:rPr>
        <w:t xml:space="preserve"> Πανελλήνιο </w:t>
      </w:r>
      <w:r w:rsidRPr="00C92ECC">
        <w:rPr>
          <w:rFonts w:ascii="Arial" w:hAnsi="Arial" w:cs="Arial"/>
          <w:b/>
          <w:bCs/>
          <w:sz w:val="22"/>
          <w:szCs w:val="22"/>
          <w:lang w:val="el-GR"/>
        </w:rPr>
        <w:t>Σ</w:t>
      </w:r>
      <w:r>
        <w:rPr>
          <w:rFonts w:ascii="Arial" w:hAnsi="Arial" w:cs="Arial"/>
          <w:b/>
          <w:bCs/>
          <w:sz w:val="22"/>
          <w:szCs w:val="22"/>
          <w:lang w:val="el-GR"/>
        </w:rPr>
        <w:t>ύ</w:t>
      </w:r>
      <w:r w:rsidRPr="00C92ECC">
        <w:rPr>
          <w:rFonts w:ascii="Arial" w:hAnsi="Arial" w:cs="Arial"/>
          <w:b/>
          <w:bCs/>
          <w:sz w:val="22"/>
          <w:szCs w:val="22"/>
          <w:lang w:val="el-GR"/>
        </w:rPr>
        <w:t>νδεσμο</w:t>
      </w:r>
      <w:r w:rsidR="00A87B2F" w:rsidRPr="00C92ECC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proofErr w:type="spellStart"/>
      <w:r w:rsidR="00A87B2F" w:rsidRPr="00C92ECC">
        <w:rPr>
          <w:rFonts w:ascii="Arial" w:hAnsi="Arial" w:cs="Arial"/>
          <w:b/>
          <w:bCs/>
          <w:sz w:val="22"/>
          <w:szCs w:val="22"/>
          <w:lang w:val="el-GR"/>
        </w:rPr>
        <w:t>Εξαγωγέων</w:t>
      </w:r>
      <w:proofErr w:type="spellEnd"/>
      <w:r w:rsidR="00A87B2F" w:rsidRPr="00C92ECC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14:paraId="088EFD5D" w14:textId="76E1075B" w:rsidR="00480AE7" w:rsidRDefault="00480AE7" w:rsidP="00A310F5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Στο πλαίσιο του επετειακού συνεδρίου του Πανελληνίου Συνδέσμου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Εξαγωγέων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που </w:t>
      </w:r>
      <w:r w:rsidR="001D1DDE">
        <w:rPr>
          <w:rFonts w:ascii="Arial" w:hAnsi="Arial" w:cs="Arial"/>
          <w:sz w:val="22"/>
          <w:szCs w:val="22"/>
          <w:lang w:val="el-GR"/>
        </w:rPr>
        <w:t xml:space="preserve">πραγματοποιήθηκε </w:t>
      </w:r>
      <w:r>
        <w:rPr>
          <w:rFonts w:ascii="Arial" w:hAnsi="Arial" w:cs="Arial"/>
          <w:sz w:val="22"/>
          <w:szCs w:val="22"/>
          <w:lang w:val="el-GR"/>
        </w:rPr>
        <w:t xml:space="preserve">στις 28 Μαΐου, οι εταιρείες της </w:t>
      </w:r>
      <w:r>
        <w:rPr>
          <w:rFonts w:ascii="Arial" w:hAnsi="Arial" w:cs="Arial"/>
          <w:sz w:val="22"/>
          <w:szCs w:val="22"/>
          <w:lang w:val="en-US"/>
        </w:rPr>
        <w:t>Viohalco</w:t>
      </w:r>
      <w:r w:rsidRPr="000A053C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έλαβαν τιμητική διάκριση </w:t>
      </w:r>
      <w:r w:rsidRPr="00C92ECC">
        <w:rPr>
          <w:rFonts w:ascii="Arial" w:hAnsi="Arial" w:cs="Arial"/>
          <w:sz w:val="22"/>
          <w:szCs w:val="22"/>
          <w:lang w:val="el-GR"/>
        </w:rPr>
        <w:t>για την καθοριστική τους συμβολή στην ενίσχυση της εξωστρέφειας της ελληνικής οικονομίας και την παγκόσμια προβολή των ελληνικών εξαγώγιμων προϊόντων.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56E8AEBB" w14:textId="18798167" w:rsidR="009B048A" w:rsidRDefault="009B048A" w:rsidP="00A310F5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Ο 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Γενικός Διευθυντής του κλάδου αλουμινίου της </w:t>
      </w:r>
      <w:r>
        <w:rPr>
          <w:rFonts w:ascii="Arial" w:hAnsi="Arial" w:cs="Arial"/>
          <w:sz w:val="22"/>
          <w:szCs w:val="22"/>
          <w:lang w:val="en-US"/>
        </w:rPr>
        <w:t>ElvalHalcor</w:t>
      </w:r>
      <w:r w:rsidR="001D1DDE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κ.</w:t>
      </w:r>
      <w:r w:rsidR="001D1DDE" w:rsidRPr="001D1DDE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Νικόλας Καραμπατέας, εκπροσωπώντας τις εταιρείες της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Vioh</w:t>
      </w:r>
      <w:proofErr w:type="spellEnd"/>
      <w:r>
        <w:rPr>
          <w:rFonts w:ascii="Arial" w:hAnsi="Arial" w:cs="Arial"/>
          <w:sz w:val="22"/>
          <w:szCs w:val="22"/>
          <w:lang w:val="en-US"/>
        </w:rPr>
        <w:t>alco</w:t>
      </w:r>
      <w:r w:rsidRPr="000A053C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σε σύντομη ομιλία του στο Συνέδριο μεταξύ άλλων ανέφερε:</w:t>
      </w:r>
    </w:p>
    <w:p w14:paraId="5C392D7E" w14:textId="77777777" w:rsidR="009B048A" w:rsidRPr="00C92ECC" w:rsidRDefault="009B048A" w:rsidP="009B048A">
      <w:pPr>
        <w:jc w:val="both"/>
        <w:rPr>
          <w:rFonts w:ascii="Arial" w:hAnsi="Arial" w:cs="Arial"/>
          <w:sz w:val="22"/>
          <w:szCs w:val="22"/>
          <w:lang w:val="el-GR"/>
        </w:rPr>
      </w:pPr>
      <w:r w:rsidRPr="00C92ECC">
        <w:rPr>
          <w:rFonts w:ascii="Arial" w:hAnsi="Arial" w:cs="Arial"/>
          <w:i/>
          <w:iCs/>
          <w:sz w:val="22"/>
          <w:szCs w:val="22"/>
          <w:lang w:val="el-GR"/>
        </w:rPr>
        <w:t xml:space="preserve">«Χρειαζόμαστε μια μακρόπνοη βιομηχανική στρατηγική που θα εστιάζει στα κρίσιμα θέματα που απασχολούν την εγχώρια βιομηχανία και επιδρούν αρνητικά στην ανταγωνιστικότητά της: Μείωση του ενεργειακού κόστους – καθώς σήμερα είμαστε από τους ακριβότερους στην Ευρώπη και στον Κόσμο, φορολογικά κίνητρα για βιομηχανικές επενδύσεις όπως οι επιταχυνόμενες αποσβέσεις – καθώς σήμερα έχουμε ένα από τα πιο δυσμενή φορολογικά καθεστώτα μεταξύ των χωρών του ΟΟΣΑ, βελτίωση του θεσμικού πλαισίου (π.χ. στις </w:t>
      </w:r>
      <w:proofErr w:type="spellStart"/>
      <w:r w:rsidRPr="00C92ECC">
        <w:rPr>
          <w:rFonts w:ascii="Arial" w:hAnsi="Arial" w:cs="Arial"/>
          <w:i/>
          <w:iCs/>
          <w:sz w:val="22"/>
          <w:szCs w:val="22"/>
          <w:lang w:val="el-GR"/>
        </w:rPr>
        <w:t>αδειοδοτήσεις</w:t>
      </w:r>
      <w:proofErr w:type="spellEnd"/>
      <w:r w:rsidRPr="00C92ECC">
        <w:rPr>
          <w:rFonts w:ascii="Arial" w:hAnsi="Arial" w:cs="Arial"/>
          <w:i/>
          <w:iCs/>
          <w:sz w:val="22"/>
          <w:szCs w:val="22"/>
          <w:lang w:val="el-GR"/>
        </w:rPr>
        <w:t>) και κίνητρα συνδεόμενα με την πράσινη και ψηφιακή μετάβαση αντίστοιχα με αυτά που ισχύουν στις περισσότερες χώρες της ΕΕ.»</w:t>
      </w:r>
    </w:p>
    <w:p w14:paraId="0BDD091B" w14:textId="0ABCBA81" w:rsidR="00FC7BAD" w:rsidRDefault="00C92ECC" w:rsidP="00A310F5">
      <w:pPr>
        <w:jc w:val="both"/>
        <w:rPr>
          <w:rFonts w:ascii="Arial" w:hAnsi="Arial" w:cs="Arial"/>
          <w:sz w:val="22"/>
          <w:szCs w:val="22"/>
          <w:lang w:val="el-GR"/>
        </w:rPr>
      </w:pPr>
      <w:r w:rsidRPr="00C92ECC">
        <w:rPr>
          <w:rFonts w:ascii="Arial" w:hAnsi="Arial" w:cs="Arial"/>
          <w:sz w:val="22"/>
          <w:szCs w:val="22"/>
          <w:lang w:val="el-GR"/>
        </w:rPr>
        <w:t xml:space="preserve">Αξίζει να σημειωθεί ότι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l-GR"/>
        </w:rPr>
        <w:t>η</w:t>
      </w:r>
      <w:r w:rsidRPr="00C92EC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 ElvalHalcor </w:t>
      </w:r>
      <w:r w:rsidRPr="00C92EC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l-GR"/>
        </w:rPr>
        <w:t>διακρίνεται για την ιδιαίτερα έντονη εξαγωγική της δραστηριότητα, καθώς το 95% του κύκλου εργασιών της αφορά πωλήσεις εκτός Ελλάδας</w:t>
      </w:r>
      <w:r w:rsidR="003A406C" w:rsidRPr="00C92ECC">
        <w:rPr>
          <w:rFonts w:ascii="Arial" w:hAnsi="Arial" w:cs="Arial"/>
          <w:sz w:val="22"/>
          <w:szCs w:val="22"/>
          <w:lang w:val="el-GR"/>
        </w:rPr>
        <w:t xml:space="preserve">. Οι 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βιώσιμες </w:t>
      </w:r>
      <w:r w:rsidR="003A406C" w:rsidRPr="00C92ECC">
        <w:rPr>
          <w:rFonts w:ascii="Arial" w:hAnsi="Arial" w:cs="Arial"/>
          <w:sz w:val="22"/>
          <w:szCs w:val="22"/>
          <w:lang w:val="el-GR"/>
        </w:rPr>
        <w:t>λύσεις που προσφέρει</w:t>
      </w:r>
      <w:r w:rsidRPr="00C92ECC">
        <w:rPr>
          <w:rFonts w:ascii="Arial" w:hAnsi="Arial" w:cs="Arial"/>
          <w:sz w:val="22"/>
          <w:szCs w:val="22"/>
          <w:lang w:val="el-GR"/>
        </w:rPr>
        <w:t>, εξάγοντας προϊόντα αλουμινίου και χαλκού υψηλής προστιθέμενης αξίας σε 90 χώρες</w:t>
      </w:r>
      <w:r w:rsidR="00FC7BAD">
        <w:rPr>
          <w:rFonts w:ascii="Arial" w:hAnsi="Arial" w:cs="Arial"/>
          <w:sz w:val="22"/>
          <w:szCs w:val="22"/>
          <w:lang w:val="el-GR"/>
        </w:rPr>
        <w:t>,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3A406C" w:rsidRPr="00C92ECC">
        <w:rPr>
          <w:rFonts w:ascii="Arial" w:hAnsi="Arial" w:cs="Arial"/>
          <w:sz w:val="22"/>
          <w:szCs w:val="22"/>
          <w:lang w:val="el-GR"/>
        </w:rPr>
        <w:t xml:space="preserve">καλύπτουν ένα ευρύ φάσμα δυναμικά αναπτυσσόμενων αγορών, όπως η συσκευασία τροφίμων και αναψυκτικών, οι μεταφορές, η δόμηση και οι κατασκευές, </w:t>
      </w:r>
      <w:r w:rsidR="00A32712">
        <w:rPr>
          <w:rFonts w:ascii="Arial" w:hAnsi="Arial" w:cs="Arial"/>
          <w:sz w:val="22"/>
          <w:szCs w:val="22"/>
          <w:lang w:val="el-GR"/>
        </w:rPr>
        <w:t xml:space="preserve">η αμυντική βιομηχανία, </w:t>
      </w:r>
      <w:r w:rsidR="003A406C" w:rsidRPr="00C92ECC">
        <w:rPr>
          <w:rFonts w:ascii="Arial" w:hAnsi="Arial" w:cs="Arial"/>
          <w:sz w:val="22"/>
          <w:szCs w:val="22"/>
          <w:lang w:val="el-GR"/>
        </w:rPr>
        <w:t>τα συστήματα θέρμανσης, ψύξης και κλιματισμού, καθώς και οι Ανανεώσιμες Πηγές Ενέργειας (ΑΠΕ).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7E2B1CB6" w14:textId="5FCA8B38" w:rsidR="003A406C" w:rsidRPr="00C92ECC" w:rsidRDefault="00C92ECC" w:rsidP="00A310F5">
      <w:pPr>
        <w:jc w:val="both"/>
        <w:rPr>
          <w:rFonts w:ascii="Arial" w:hAnsi="Arial" w:cs="Arial"/>
          <w:sz w:val="22"/>
          <w:szCs w:val="22"/>
          <w:lang w:val="el-GR"/>
        </w:rPr>
      </w:pPr>
      <w:r w:rsidRPr="00C92EC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l-GR"/>
        </w:rPr>
        <w:t>Η</w:t>
      </w:r>
      <w:r w:rsidRPr="00C92EC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 ElvalHalcor </w:t>
      </w:r>
      <w:r w:rsidRPr="00C92EC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l-GR"/>
        </w:rPr>
        <w:t xml:space="preserve">αποτελεί σημείο αναφοράς στον κλάδο επεξεργασίας μετάλλων αλλά και για τη χώρα συνολικά, καθώς το αποτύπωμά της ξεπερνά τις συνήθεις επιδόσεις μιας κορυφαίας βιομηχανίας. </w:t>
      </w:r>
      <w:r w:rsidR="003A406C" w:rsidRPr="00C92ECC">
        <w:rPr>
          <w:rFonts w:ascii="Arial" w:hAnsi="Arial" w:cs="Arial"/>
          <w:sz w:val="22"/>
          <w:szCs w:val="22"/>
          <w:lang w:val="el-GR"/>
        </w:rPr>
        <w:t xml:space="preserve">Σύμφωνα με πρόσφατη μελέτη του ΙΟΒΕ (2024), οι εξαγωγές της </w:t>
      </w:r>
      <w:r w:rsidR="00A32712" w:rsidRPr="00C92ECC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ElvalHalcor</w:t>
      </w:r>
      <w:r w:rsidR="003A406C" w:rsidRPr="00C92ECC">
        <w:rPr>
          <w:rFonts w:ascii="Arial" w:hAnsi="Arial" w:cs="Arial"/>
          <w:sz w:val="22"/>
          <w:szCs w:val="22"/>
          <w:lang w:val="el-GR"/>
        </w:rPr>
        <w:t xml:space="preserve"> </w:t>
      </w:r>
      <w:r w:rsidR="00925CE1">
        <w:rPr>
          <w:rFonts w:ascii="Arial" w:hAnsi="Arial" w:cs="Arial"/>
          <w:sz w:val="22"/>
          <w:szCs w:val="22"/>
          <w:lang w:val="el-GR"/>
        </w:rPr>
        <w:t>με συνολική αξία 2,39 δι</w:t>
      </w:r>
      <w:r w:rsidR="00E71C58">
        <w:rPr>
          <w:rFonts w:ascii="Arial" w:hAnsi="Arial" w:cs="Arial"/>
          <w:sz w:val="22"/>
          <w:szCs w:val="22"/>
          <w:lang w:val="el-GR"/>
        </w:rPr>
        <w:t>σ</w:t>
      </w:r>
      <w:r w:rsidR="00925CE1">
        <w:rPr>
          <w:rFonts w:ascii="Arial" w:hAnsi="Arial" w:cs="Arial"/>
          <w:sz w:val="22"/>
          <w:szCs w:val="22"/>
          <w:lang w:val="el-GR"/>
        </w:rPr>
        <w:t xml:space="preserve">. ευρώ </w:t>
      </w:r>
      <w:r w:rsidR="003A406C" w:rsidRPr="00C92ECC">
        <w:rPr>
          <w:rFonts w:ascii="Arial" w:hAnsi="Arial" w:cs="Arial"/>
          <w:sz w:val="22"/>
          <w:szCs w:val="22"/>
          <w:lang w:val="el-GR"/>
        </w:rPr>
        <w:t xml:space="preserve">αντιστοιχούν στο 7,8% του συνόλου των εξαγωγών βιομηχανικών προϊόντων της Ελλάδας </w:t>
      </w:r>
      <w:r w:rsidRPr="00C92ECC">
        <w:rPr>
          <w:rFonts w:ascii="Arial" w:hAnsi="Arial" w:cs="Arial"/>
          <w:sz w:val="22"/>
          <w:szCs w:val="22"/>
          <w:lang w:val="el-GR"/>
        </w:rPr>
        <w:t>(</w:t>
      </w:r>
      <w:r w:rsidR="003A406C" w:rsidRPr="00C92ECC">
        <w:rPr>
          <w:rFonts w:ascii="Arial" w:hAnsi="Arial" w:cs="Arial"/>
          <w:sz w:val="22"/>
          <w:szCs w:val="22"/>
          <w:lang w:val="el-GR"/>
        </w:rPr>
        <w:t>εξαιρουμένων των πετρελαιοειδών</w:t>
      </w:r>
      <w:r w:rsidRPr="00C92ECC">
        <w:rPr>
          <w:rFonts w:ascii="Arial" w:hAnsi="Arial" w:cs="Arial"/>
          <w:sz w:val="22"/>
          <w:szCs w:val="22"/>
          <w:lang w:val="el-GR"/>
        </w:rPr>
        <w:t>)</w:t>
      </w:r>
      <w:r w:rsidR="003A406C" w:rsidRPr="00C92ECC">
        <w:rPr>
          <w:rFonts w:ascii="Arial" w:hAnsi="Arial" w:cs="Arial"/>
          <w:sz w:val="22"/>
          <w:szCs w:val="22"/>
          <w:lang w:val="el-GR"/>
        </w:rPr>
        <w:t>.</w:t>
      </w:r>
    </w:p>
    <w:p w14:paraId="2CDA7276" w14:textId="32C5FDA6" w:rsidR="00A310F5" w:rsidRPr="00C92ECC" w:rsidRDefault="00A310F5" w:rsidP="00A310F5">
      <w:pPr>
        <w:jc w:val="both"/>
        <w:rPr>
          <w:rFonts w:ascii="Arial" w:hAnsi="Arial" w:cs="Arial"/>
          <w:sz w:val="22"/>
          <w:szCs w:val="22"/>
          <w:lang w:val="el-GR"/>
        </w:rPr>
      </w:pPr>
      <w:r w:rsidRPr="00C92ECC">
        <w:rPr>
          <w:rFonts w:ascii="Arial" w:hAnsi="Arial" w:cs="Arial"/>
          <w:sz w:val="22"/>
          <w:szCs w:val="22"/>
          <w:lang w:val="el-GR"/>
        </w:rPr>
        <w:t xml:space="preserve">Οι </w:t>
      </w:r>
      <w:r w:rsidR="00073E2A">
        <w:rPr>
          <w:rFonts w:ascii="Arial" w:hAnsi="Arial" w:cs="Arial"/>
          <w:sz w:val="22"/>
          <w:szCs w:val="22"/>
          <w:lang w:val="el-GR"/>
        </w:rPr>
        <w:t>άξονες ανάπτυξης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 της </w:t>
      </w:r>
      <w:r w:rsidR="00C92ECC" w:rsidRPr="00C92ECC">
        <w:rPr>
          <w:rFonts w:ascii="Arial" w:hAnsi="Arial" w:cs="Arial"/>
          <w:sz w:val="22"/>
          <w:szCs w:val="22"/>
          <w:lang w:val="el-GR"/>
        </w:rPr>
        <w:t xml:space="preserve">εταιρίας 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ευθυγραμμίζονται με τη στρατηγική κατεύθυνση του ΠΣΕ, με κοινό στόχο την ενίσχυση της εξωστρέφειας, την προώθηση της </w:t>
      </w:r>
      <w:r w:rsidR="00C92ECC" w:rsidRPr="00C92ECC">
        <w:rPr>
          <w:rFonts w:ascii="Arial" w:hAnsi="Arial" w:cs="Arial"/>
          <w:sz w:val="22"/>
          <w:szCs w:val="22"/>
          <w:lang w:val="el-GR"/>
        </w:rPr>
        <w:t xml:space="preserve">ελληνικής </w:t>
      </w:r>
      <w:r w:rsidR="00C92ECC" w:rsidRPr="00C92ECC">
        <w:rPr>
          <w:rFonts w:ascii="Arial" w:hAnsi="Arial" w:cs="Arial"/>
          <w:sz w:val="22"/>
          <w:szCs w:val="22"/>
          <w:lang w:val="el-GR"/>
        </w:rPr>
        <w:lastRenderedPageBreak/>
        <w:t xml:space="preserve">επιχειρηματικότητας 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και τη διαμόρφωση μακροπρόθεσμων στρατηγικών για τη </w:t>
      </w:r>
      <w:r w:rsidR="00073E2A">
        <w:rPr>
          <w:rFonts w:ascii="Arial" w:hAnsi="Arial" w:cs="Arial"/>
          <w:sz w:val="22"/>
          <w:szCs w:val="22"/>
          <w:lang w:val="el-GR"/>
        </w:rPr>
        <w:t>βιωσιμότητα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 των ελληνικών εξαγωγών.</w:t>
      </w:r>
    </w:p>
    <w:p w14:paraId="03E91858" w14:textId="6CD92266" w:rsidR="009B048A" w:rsidRPr="00C92ECC" w:rsidRDefault="009B048A" w:rsidP="009B048A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Το Συνέδριο του Πανελληνίου Συνδέσμου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Εξαγωγέων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είχε τίτλο « </w:t>
      </w:r>
      <w:r w:rsidRPr="00C92ECC">
        <w:rPr>
          <w:rFonts w:ascii="Arial" w:hAnsi="Arial" w:cs="Arial"/>
          <w:sz w:val="22"/>
          <w:szCs w:val="22"/>
          <w:lang w:val="el-GR"/>
        </w:rPr>
        <w:t>80 Χρόνια ΠΣΕ – Ορίζοντας το Μέλλον των Ελληνικών Εξαγωγών: Καινοτομία, Προκλήσεις και Ευκαιρίες</w:t>
      </w:r>
      <w:r w:rsidRPr="00E71C58">
        <w:rPr>
          <w:rFonts w:ascii="Arial" w:hAnsi="Arial" w:cs="Arial"/>
          <w:sz w:val="22"/>
          <w:szCs w:val="22"/>
          <w:lang w:val="el-GR"/>
        </w:rPr>
        <w:t>»</w:t>
      </w:r>
      <w:r>
        <w:rPr>
          <w:rFonts w:ascii="Arial" w:hAnsi="Arial" w:cs="Arial"/>
          <w:sz w:val="22"/>
          <w:szCs w:val="22"/>
          <w:lang w:val="el-GR"/>
        </w:rPr>
        <w:t xml:space="preserve"> και στο επίκεντρο των συζητήσεων βρέθηκαν</w:t>
      </w:r>
      <w:r w:rsidRPr="008B5212">
        <w:rPr>
          <w:rFonts w:ascii="Arial" w:hAnsi="Arial" w:cs="Arial"/>
          <w:sz w:val="22"/>
          <w:szCs w:val="22"/>
          <w:lang w:val="el-GR"/>
        </w:rPr>
        <w:t xml:space="preserve"> τα κρίσιμα ζητήματα που απασχολούν σήμερα τις ελληνικές εξαγωγικές επιχειρήσεις</w:t>
      </w:r>
      <w:r>
        <w:rPr>
          <w:rFonts w:ascii="Arial" w:hAnsi="Arial" w:cs="Arial"/>
          <w:sz w:val="22"/>
          <w:szCs w:val="22"/>
          <w:lang w:val="el-GR"/>
        </w:rPr>
        <w:t xml:space="preserve">. </w:t>
      </w:r>
      <w:r w:rsidRPr="00E71C58">
        <w:rPr>
          <w:lang w:val="el-GR"/>
        </w:rPr>
        <w:t xml:space="preserve"> </w:t>
      </w:r>
    </w:p>
    <w:p w14:paraId="3B0B00E1" w14:textId="7C954640" w:rsidR="003A406C" w:rsidRPr="00C92ECC" w:rsidRDefault="003A406C" w:rsidP="001A74D0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60F43864" w14:textId="3968C339" w:rsidR="003A406C" w:rsidRPr="00C92ECC" w:rsidRDefault="003A406C" w:rsidP="001A74D0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C92ECC"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C6507" wp14:editId="563FFB6B">
                <wp:simplePos x="0" y="0"/>
                <wp:positionH relativeFrom="column">
                  <wp:posOffset>-491490</wp:posOffset>
                </wp:positionH>
                <wp:positionV relativeFrom="paragraph">
                  <wp:posOffset>427355</wp:posOffset>
                </wp:positionV>
                <wp:extent cx="64312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6362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pt,33.65pt" to="467.7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/UoQEAAJsDAAAOAAAAZHJzL2Uyb0RvYy54bWysU01P4zAQva/Ef7B83yYpK4SiphxAuxe0&#10;IGB/gHHGjSV/aWya9N8zdtsUARIS2otjj+e9mfc8WV1N1rAtYNTedbxZ1JyBk77XbtPxf0+/f15y&#10;FpNwvTDeQcd3EPnV+uzHagwtLP3gTQ/IiMTFdgwdH1IKbVVFOYAVceEDOLpUHq1IdMRN1aMYid2a&#10;alnXF9XosQ/oJcRI0Zv9JV8XfqVApjulIiRmOk69pbJiWZ/zWq1Xot2gCIOWhzbEN7qwQjsqOlPd&#10;iCTYC+oPVFZL9NGrtJDeVl4pLaFoIDVN/U7N4yACFC1kTgyzTfH/0cq/22t3j2TDGGIbwz1mFZNC&#10;m7/UH5uKWbvZLJgSkxS8+HXeLC/JU3m8q07AgDH9AW9Z3nTcaJd1iFZsb2OiYpR6TMlh43Ls1EHZ&#10;pZ2B/eUDKKZ7qrksJGU44Nog2wp6ViEluHSen5JojaPsDFPamBlYfw085GcolMGZwc3X4BlRKnuX&#10;ZrDVzuNnBGlqDi2rff7Rgb3ubMGz73flbYo1NAFF4WFa84i9PRf46Z9avwIAAP//AwBQSwMEFAAG&#10;AAgAAAAhAAp+5j7eAAAACQEAAA8AAABkcnMvZG93bnJldi54bWxMj8FKxDAQhu+C7xBG8Lab6q5b&#10;tzZdxEUQQcVV0ONsM7bFZFKSbFvf3ogHPc4/H/98U24ma8RAPnSOFZzNMxDEtdMdNwpeX25nlyBC&#10;RNZoHJOCLwqwqY6PSiy0G/mZhl1sRCrhUKCCNsa+kDLULVkMc9cTp92H8xZjGn0jtccxlVsjz7Ns&#10;JS12nC602NNNS/Xn7mAV3C/Xd4/t1vf0YN/H7VMuDb4NSp2eTNdXICJN8Q+GH/2kDlVy2rsD6yCM&#10;glmeLxOqYJUvQCRgvbhIwf43kFUp/39QfQMAAP//AwBQSwECLQAUAAYACAAAACEAtoM4kv4AAADh&#10;AQAAEwAAAAAAAAAAAAAAAAAAAAAAW0NvbnRlbnRfVHlwZXNdLnhtbFBLAQItABQABgAIAAAAIQA4&#10;/SH/1gAAAJQBAAALAAAAAAAAAAAAAAAAAC8BAABfcmVscy8ucmVsc1BLAQItABQABgAIAAAAIQCf&#10;3q/UoQEAAJsDAAAOAAAAAAAAAAAAAAAAAC4CAABkcnMvZTJvRG9jLnhtbFBLAQItABQABgAIAAAA&#10;IQAKfuY+3gAAAAkBAAAPAAAAAAAAAAAAAAAAAPsDAABkcnMvZG93bnJldi54bWxQSwUGAAAAAAQA&#10;BADzAAAABgUAAAAA&#10;" strokecolor="#196b24 [3206]" strokeweight="1pt">
                <v:stroke joinstyle="miter"/>
              </v:line>
            </w:pict>
          </mc:Fallback>
        </mc:AlternateContent>
      </w:r>
    </w:p>
    <w:p w14:paraId="7E48C191" w14:textId="77777777" w:rsidR="00852F69" w:rsidRPr="00C92ECC" w:rsidRDefault="00852F69" w:rsidP="001A74D0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0D870736" w14:textId="0F59ACD9" w:rsidR="001A74D0" w:rsidRPr="00C92ECC" w:rsidRDefault="001A74D0" w:rsidP="001A74D0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C92ECC">
        <w:rPr>
          <w:rFonts w:ascii="Arial" w:hAnsi="Arial" w:cs="Arial"/>
          <w:b/>
          <w:bCs/>
          <w:sz w:val="22"/>
          <w:szCs w:val="22"/>
          <w:lang w:val="el-GR"/>
        </w:rPr>
        <w:t>Σχετικά με την Ε</w:t>
      </w:r>
      <w:proofErr w:type="spellStart"/>
      <w:r w:rsidRPr="00C92ECC">
        <w:rPr>
          <w:rFonts w:ascii="Arial" w:hAnsi="Arial" w:cs="Arial"/>
          <w:b/>
          <w:bCs/>
          <w:sz w:val="22"/>
          <w:szCs w:val="22"/>
          <w:lang w:val="en-US"/>
        </w:rPr>
        <w:t>lvalHalcor</w:t>
      </w:r>
      <w:proofErr w:type="spellEnd"/>
      <w:r w:rsidRPr="00C92ECC">
        <w:rPr>
          <w:rFonts w:ascii="Arial" w:hAnsi="Arial" w:cs="Arial"/>
          <w:b/>
          <w:bCs/>
          <w:sz w:val="22"/>
          <w:szCs w:val="22"/>
        </w:rPr>
        <w:t> </w:t>
      </w:r>
    </w:p>
    <w:p w14:paraId="6341DBAC" w14:textId="70A08BC3" w:rsidR="00BD0E48" w:rsidRPr="00C92ECC" w:rsidRDefault="001A74D0" w:rsidP="00BD0E48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C92ECC">
        <w:rPr>
          <w:rFonts w:ascii="Arial" w:hAnsi="Arial" w:cs="Arial"/>
          <w:sz w:val="22"/>
          <w:szCs w:val="22"/>
          <w:lang w:val="el-GR"/>
        </w:rPr>
        <w:t xml:space="preserve">Η </w:t>
      </w:r>
      <w:r w:rsidRPr="00C92ECC">
        <w:rPr>
          <w:rFonts w:ascii="Arial" w:hAnsi="Arial" w:cs="Arial"/>
          <w:sz w:val="22"/>
          <w:szCs w:val="22"/>
        </w:rPr>
        <w:t>ElvalHalcor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 είναι μία από τις κορυφαίες παγκοσμίως εταιρίες παραγωγής προϊόντων και λύσεων αλουμινίου και χαλκού. Η Εταιρία διαθέτει πάνω από 85 χρόνια εμπειρίας και τεχνογνωσίας, ισχυρή παραγωγική βάση με 1</w:t>
      </w:r>
      <w:r w:rsidR="001D1BB1" w:rsidRPr="00E71C58">
        <w:rPr>
          <w:rFonts w:ascii="Arial" w:hAnsi="Arial" w:cs="Arial"/>
          <w:sz w:val="22"/>
          <w:szCs w:val="22"/>
          <w:lang w:val="el-GR"/>
        </w:rPr>
        <w:t>4</w:t>
      </w:r>
      <w:r w:rsidRPr="00C92ECC">
        <w:rPr>
          <w:rFonts w:ascii="Arial" w:hAnsi="Arial" w:cs="Arial"/>
          <w:sz w:val="22"/>
          <w:szCs w:val="22"/>
          <w:lang w:val="el-GR"/>
        </w:rPr>
        <w:t xml:space="preserve"> εργοστασιακές μονάδες και εμπορική παρουσία σε πάνω από 90 χώρες. Προσφέρει βιώσιμες λύσεις και προϊόντα σε δυναμικά αναπτυσσόμενες αγορές όπως οι συσκευασίες, οι μεταφορές, η δόμηση και κατασκευές, η θέρμανση, η ψύξη και ο κλιματισμός και οι ΑΠΕ. </w:t>
      </w:r>
      <w:r w:rsidRPr="00C92ECC">
        <w:rPr>
          <w:rFonts w:ascii="Arial" w:hAnsi="Arial" w:cs="Arial"/>
          <w:sz w:val="22"/>
          <w:szCs w:val="22"/>
        </w:rPr>
        <w:t> </w:t>
      </w:r>
      <w:hyperlink r:id="rId7" w:tgtFrame="_blank" w:history="1">
        <w:r w:rsidR="00BD0E48" w:rsidRPr="00C92ECC">
          <w:rPr>
            <w:rStyle w:val="Hyperlink"/>
            <w:rFonts w:ascii="Arial" w:hAnsi="Arial" w:cs="Arial"/>
            <w:b/>
            <w:bCs/>
            <w:sz w:val="22"/>
            <w:szCs w:val="22"/>
          </w:rPr>
          <w:t>www.elvalhalcor.com</w:t>
        </w:r>
      </w:hyperlink>
      <w:r w:rsidR="00BD0E48" w:rsidRPr="00C92ECC">
        <w:rPr>
          <w:rFonts w:ascii="Arial" w:hAnsi="Arial" w:cs="Arial"/>
          <w:b/>
          <w:bCs/>
          <w:sz w:val="22"/>
          <w:szCs w:val="22"/>
          <w:u w:val="single"/>
        </w:rPr>
        <w:t>  </w:t>
      </w:r>
    </w:p>
    <w:p w14:paraId="102C6A1A" w14:textId="0935A8F8" w:rsidR="001A74D0" w:rsidRPr="001A74D0" w:rsidRDefault="001A74D0" w:rsidP="001A74D0">
      <w:pPr>
        <w:jc w:val="both"/>
        <w:rPr>
          <w:rFonts w:ascii="Aptos Narrow" w:hAnsi="Aptos Narrow"/>
          <w:sz w:val="22"/>
          <w:szCs w:val="22"/>
          <w:lang w:val="el-GR"/>
        </w:rPr>
      </w:pPr>
    </w:p>
    <w:p w14:paraId="7B8C4E85" w14:textId="77777777" w:rsidR="001A74D0" w:rsidRDefault="001A74D0" w:rsidP="001A74D0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749BF42D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1CA59225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517D3222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538A20A6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06728135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594FFE2D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09BAAD40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4C00CBCA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19E32AD8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0CF81F9F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61AB1CBF" w14:textId="77777777" w:rsid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lang w:val="el-GR"/>
        </w:rPr>
      </w:pPr>
    </w:p>
    <w:p w14:paraId="141F1F5E" w14:textId="4619BC88" w:rsidR="005A5D86" w:rsidRPr="005A5D86" w:rsidRDefault="005A5D86" w:rsidP="005A5D86">
      <w:pPr>
        <w:jc w:val="both"/>
        <w:rPr>
          <w:rFonts w:asciiTheme="majorHAnsi" w:hAnsiTheme="majorHAnsi"/>
          <w:b/>
          <w:bCs/>
          <w:sz w:val="22"/>
          <w:szCs w:val="22"/>
          <w:u w:val="single"/>
          <w:lang w:val="el-GR"/>
        </w:rPr>
      </w:pPr>
    </w:p>
    <w:p w14:paraId="5A3F4D77" w14:textId="0189ACFA" w:rsidR="006E06ED" w:rsidRDefault="0034739F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DA09B" wp14:editId="345CA595">
                <wp:simplePos x="0" y="0"/>
                <wp:positionH relativeFrom="column">
                  <wp:posOffset>-579120</wp:posOffset>
                </wp:positionH>
                <wp:positionV relativeFrom="paragraph">
                  <wp:posOffset>2636520</wp:posOffset>
                </wp:positionV>
                <wp:extent cx="6431280" cy="0"/>
                <wp:effectExtent l="0" t="0" r="0" b="0"/>
                <wp:wrapNone/>
                <wp:docPr id="2089684500" name="Straight Connector 2089684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5EBB6" id="Straight Connector 208968450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6pt,207.6pt" to="460.8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/UoQEAAJsDAAAOAAAAZHJzL2Uyb0RvYy54bWysU01P4zAQva/Ef7B83yYpK4SiphxAuxe0&#10;IGB/gHHGjSV/aWya9N8zdtsUARIS2otjj+e9mfc8WV1N1rAtYNTedbxZ1JyBk77XbtPxf0+/f15y&#10;FpNwvTDeQcd3EPnV+uzHagwtLP3gTQ/IiMTFdgwdH1IKbVVFOYAVceEDOLpUHq1IdMRN1aMYid2a&#10;alnXF9XosQ/oJcRI0Zv9JV8XfqVApjulIiRmOk69pbJiWZ/zWq1Xot2gCIOWhzbEN7qwQjsqOlPd&#10;iCTYC+oPVFZL9NGrtJDeVl4pLaFoIDVN/U7N4yACFC1kTgyzTfH/0cq/22t3j2TDGGIbwz1mFZNC&#10;m7/UH5uKWbvZLJgSkxS8+HXeLC/JU3m8q07AgDH9AW9Z3nTcaJd1iFZsb2OiYpR6TMlh43Ls1EHZ&#10;pZ2B/eUDKKZ7qrksJGU44Nog2wp6ViEluHSen5JojaPsDFPamBlYfw085GcolMGZwc3X4BlRKnuX&#10;ZrDVzuNnBGlqDi2rff7Rgb3ubMGz73flbYo1NAFF4WFa84i9PRf46Z9avwIAAP//AwBQSwMEFAAG&#10;AAgAAAAhAFMFK/TeAAAACwEAAA8AAABkcnMvZG93bnJldi54bWxMj9tKxDAQhu8F3yGM4N1u2rKu&#10;tjZdxEUQwRVXQS9nm7Ep5lCSbFvf3giC3s3h459v6s1sNBvJh95ZAfkyA0a2dbK3nYDXl7vFFbAQ&#10;0UrUzpKALwqwaU5Paqykm+wzjfvYsRRiQ4UCVIxDxXloFRkMSzeQTbsP5w3G1PqOS49TCjeaF1m2&#10;5gZ7my4oHOhWUfu5PxoBD6vyfqe2fqBH8z5tny65xrdRiPOz+eYaWKQ5/sHwo5/UoUlOB3e0MjAt&#10;YFHmRUIFrPKLVCSiLPI1sMPvhDc1//9D8w0AAP//AwBQSwECLQAUAAYACAAAACEAtoM4kv4AAADh&#10;AQAAEwAAAAAAAAAAAAAAAAAAAAAAW0NvbnRlbnRfVHlwZXNdLnhtbFBLAQItABQABgAIAAAAIQA4&#10;/SH/1gAAAJQBAAALAAAAAAAAAAAAAAAAAC8BAABfcmVscy8ucmVsc1BLAQItABQABgAIAAAAIQCf&#10;3q/UoQEAAJsDAAAOAAAAAAAAAAAAAAAAAC4CAABkcnMvZTJvRG9jLnhtbFBLAQItABQABgAIAAAA&#10;IQBTBSv03gAAAAsBAAAPAAAAAAAAAAAAAAAAAPsDAABkcnMvZG93bnJldi54bWxQSwUGAAAAAAQA&#10;BADzAAAABgUAAAAA&#10;" strokecolor="#196b24 [3206]" strokeweight="1pt">
                <v:stroke joinstyle="miter"/>
              </v:line>
            </w:pict>
          </mc:Fallback>
        </mc:AlternateContent>
      </w:r>
    </w:p>
    <w:sectPr w:rsidR="006E06ED" w:rsidSect="00FC7BAD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5AF9" w14:textId="77777777" w:rsidR="001E637A" w:rsidRDefault="001E637A" w:rsidP="005A5D86">
      <w:pPr>
        <w:spacing w:after="0" w:line="240" w:lineRule="auto"/>
      </w:pPr>
      <w:r>
        <w:separator/>
      </w:r>
    </w:p>
  </w:endnote>
  <w:endnote w:type="continuationSeparator" w:id="0">
    <w:p w14:paraId="3E5C30DB" w14:textId="77777777" w:rsidR="001E637A" w:rsidRDefault="001E637A" w:rsidP="005A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Ind w:w="-57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0"/>
      <w:gridCol w:w="820"/>
      <w:gridCol w:w="2981"/>
    </w:tblGrid>
    <w:tr w:rsidR="005A5D86" w:rsidRPr="007A1DAA" w14:paraId="20CACA95" w14:textId="77777777" w:rsidTr="001A74D0">
      <w:trPr>
        <w:trHeight w:val="851"/>
      </w:trPr>
      <w:tc>
        <w:tcPr>
          <w:tcW w:w="58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5A58257" w14:textId="0B38174A" w:rsidR="005A5D86" w:rsidRPr="001D1BB1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>
            <w:rPr>
              <w:sz w:val="16"/>
              <w:szCs w:val="16"/>
              <w:u w:val="single"/>
              <w:lang w:val="el-GR"/>
            </w:rPr>
            <w:br/>
          </w:r>
          <w:r w:rsidRPr="001D1BB1">
            <w:rPr>
              <w:sz w:val="16"/>
              <w:szCs w:val="16"/>
              <w:lang w:val="en-US"/>
            </w:rPr>
            <w:t>E</w:t>
          </w:r>
          <w:r w:rsidRPr="001D1BB1">
            <w:rPr>
              <w:sz w:val="16"/>
              <w:szCs w:val="16"/>
              <w:lang w:val="el-GR"/>
            </w:rPr>
            <w:t>ΛΒΑΛΧΑΛΚΟΡ</w:t>
          </w:r>
          <w:r w:rsidRPr="001D1BB1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  <w:lang w:val="el-GR"/>
            </w:rPr>
            <w:t>Ελληνική</w:t>
          </w:r>
          <w:r w:rsidRPr="001D1BB1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  <w:lang w:val="el-GR"/>
            </w:rPr>
            <w:t>Βιομηχανία Χαλκού</w:t>
          </w:r>
          <w:r w:rsidRPr="001D1BB1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  <w:lang w:val="el-GR"/>
            </w:rPr>
            <w:t>και</w:t>
          </w:r>
          <w:r w:rsidRPr="001D1BB1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  <w:lang w:val="el-GR"/>
            </w:rPr>
            <w:t>Αλουμινίου</w:t>
          </w:r>
          <w:r w:rsidRPr="001D1BB1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  <w:lang w:val="el-GR"/>
            </w:rPr>
            <w:t>Ανώνυμος</w:t>
          </w:r>
          <w:r w:rsidRPr="001D1BB1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  <w:lang w:val="el-GR"/>
            </w:rPr>
            <w:t>Εταιρεία</w:t>
          </w:r>
          <w:r w:rsidRPr="001D1BB1">
            <w:rPr>
              <w:sz w:val="16"/>
              <w:szCs w:val="16"/>
            </w:rPr>
            <w:t> </w:t>
          </w:r>
        </w:p>
        <w:p w14:paraId="798612E0" w14:textId="77777777" w:rsidR="005A5D86" w:rsidRPr="001D1BB1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 w:rsidRPr="00E71C58">
            <w:rPr>
              <w:sz w:val="16"/>
              <w:szCs w:val="16"/>
              <w:lang w:val="el-GR"/>
            </w:rPr>
            <w:t>Α.Ρ.Μ.Α.Ε.: 2836/06/Β/86/48 Υπουργείο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Οικονομίας και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Ανάπτυξης</w:t>
          </w:r>
          <w:r w:rsidRPr="001D1BB1">
            <w:rPr>
              <w:sz w:val="16"/>
              <w:szCs w:val="16"/>
            </w:rPr>
            <w:t> </w:t>
          </w:r>
        </w:p>
        <w:p w14:paraId="278F2253" w14:textId="77777777" w:rsidR="005A5D86" w:rsidRPr="001D1BB1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 w:rsidRPr="00E71C58">
            <w:rPr>
              <w:sz w:val="16"/>
              <w:szCs w:val="16"/>
              <w:lang w:val="el-GR"/>
            </w:rPr>
            <w:t>ΑΡ. ΓΕΜΗ: 303401000</w:t>
          </w:r>
          <w:r w:rsidRPr="00E71C58">
            <w:rPr>
              <w:sz w:val="16"/>
              <w:szCs w:val="16"/>
            </w:rPr>
            <w:t>    </w:t>
          </w:r>
          <w:r w:rsidRPr="00E71C58">
            <w:rPr>
              <w:sz w:val="16"/>
              <w:szCs w:val="16"/>
              <w:lang w:val="el-GR"/>
            </w:rPr>
            <w:t>Α.Φ.Μ.: 094061318</w:t>
          </w:r>
          <w:r w:rsidRPr="00E71C58">
            <w:rPr>
              <w:sz w:val="16"/>
              <w:szCs w:val="16"/>
            </w:rPr>
            <w:t>    </w:t>
          </w:r>
          <w:r w:rsidRPr="00E71C58">
            <w:rPr>
              <w:sz w:val="16"/>
              <w:szCs w:val="16"/>
              <w:lang w:val="el-GR"/>
            </w:rPr>
            <w:t>Δ.Ο.Υ.: ΦΑΕ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Αθηνών</w:t>
          </w:r>
          <w:r w:rsidRPr="00E71C58">
            <w:rPr>
              <w:sz w:val="16"/>
              <w:szCs w:val="16"/>
            </w:rPr>
            <w:t> </w:t>
          </w:r>
          <w:r w:rsidRPr="001D1BB1">
            <w:rPr>
              <w:sz w:val="16"/>
              <w:szCs w:val="16"/>
            </w:rPr>
            <w:t> </w:t>
          </w:r>
        </w:p>
        <w:p w14:paraId="392482E0" w14:textId="77777777" w:rsidR="005A5D86" w:rsidRPr="007A1DAA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 w:rsidRPr="00E71C58">
            <w:rPr>
              <w:sz w:val="16"/>
              <w:szCs w:val="16"/>
              <w:lang w:val="el-GR"/>
            </w:rPr>
            <w:t>Έδρα: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Πύργος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Αθηνών, Β’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Κτίριο,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Μεσογείων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2-4, Τ.Κ. 115 27,</w:t>
          </w:r>
          <w:r w:rsidRPr="00E71C58">
            <w:rPr>
              <w:sz w:val="16"/>
              <w:szCs w:val="16"/>
            </w:rPr>
            <w:t> </w:t>
          </w:r>
          <w:r w:rsidRPr="00E71C58">
            <w:rPr>
              <w:sz w:val="16"/>
              <w:szCs w:val="16"/>
              <w:lang w:val="el-GR"/>
            </w:rPr>
            <w:t>Αθήνα</w:t>
          </w:r>
          <w:r w:rsidRPr="007A1DAA">
            <w:rPr>
              <w:sz w:val="16"/>
              <w:szCs w:val="16"/>
            </w:rPr>
            <w:t> </w:t>
          </w:r>
        </w:p>
      </w:tc>
      <w:tc>
        <w:tcPr>
          <w:tcW w:w="8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8BD921B" w14:textId="77777777" w:rsidR="005A5D86" w:rsidRPr="007A1DAA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 w:rsidRPr="007A1DAA">
            <w:rPr>
              <w:sz w:val="16"/>
              <w:szCs w:val="16"/>
            </w:rPr>
            <w:t> </w:t>
          </w:r>
        </w:p>
      </w:tc>
      <w:tc>
        <w:tcPr>
          <w:tcW w:w="29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B9B01A2" w14:textId="77777777" w:rsidR="005A5D86" w:rsidRPr="007A1DAA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 w:rsidRPr="007A1DAA">
            <w:rPr>
              <w:sz w:val="16"/>
              <w:szCs w:val="16"/>
            </w:rPr>
            <w:t> </w:t>
          </w:r>
        </w:p>
        <w:p w14:paraId="749A65EF" w14:textId="77777777" w:rsidR="005A5D86" w:rsidRPr="007A1DAA" w:rsidRDefault="005A5D86" w:rsidP="005A5D86">
          <w:pPr>
            <w:pStyle w:val="Footer"/>
            <w:rPr>
              <w:sz w:val="16"/>
              <w:szCs w:val="16"/>
              <w:lang w:val="el-GR"/>
            </w:rPr>
          </w:pPr>
          <w:r w:rsidRPr="007A1DAA">
            <w:rPr>
              <w:sz w:val="16"/>
              <w:szCs w:val="16"/>
            </w:rPr>
            <w:t> </w:t>
          </w:r>
        </w:p>
        <w:p w14:paraId="624589F8" w14:textId="77777777" w:rsidR="005A5D86" w:rsidRPr="007A1DAA" w:rsidRDefault="005A5D86" w:rsidP="005A5D86">
          <w:pPr>
            <w:pStyle w:val="Footer"/>
            <w:rPr>
              <w:sz w:val="16"/>
              <w:szCs w:val="16"/>
            </w:rPr>
          </w:pPr>
          <w:hyperlink r:id="rId1" w:tgtFrame="_blank" w:history="1">
            <w:r w:rsidRPr="007A1DAA">
              <w:rPr>
                <w:rStyle w:val="Hyperlink"/>
                <w:sz w:val="16"/>
                <w:szCs w:val="16"/>
                <w:lang w:val="en-US"/>
              </w:rPr>
              <w:t>www</w:t>
            </w:r>
            <w:r w:rsidRPr="007A1DAA">
              <w:rPr>
                <w:rStyle w:val="Hyperlink"/>
                <w:sz w:val="16"/>
                <w:szCs w:val="16"/>
              </w:rPr>
              <w:t>.</w:t>
            </w:r>
            <w:proofErr w:type="spellStart"/>
            <w:r w:rsidRPr="007A1DAA">
              <w:rPr>
                <w:rStyle w:val="Hyperlink"/>
                <w:sz w:val="16"/>
                <w:szCs w:val="16"/>
                <w:lang w:val="en-US"/>
              </w:rPr>
              <w:t>elvalhalcor</w:t>
            </w:r>
            <w:proofErr w:type="spellEnd"/>
            <w:r w:rsidRPr="007A1DAA">
              <w:rPr>
                <w:rStyle w:val="Hyperlink"/>
                <w:sz w:val="16"/>
                <w:szCs w:val="16"/>
              </w:rPr>
              <w:t>.</w:t>
            </w:r>
            <w:r w:rsidRPr="007A1DAA">
              <w:rPr>
                <w:rStyle w:val="Hyperlink"/>
                <w:sz w:val="16"/>
                <w:szCs w:val="16"/>
                <w:lang w:val="en-US"/>
              </w:rPr>
              <w:t>com</w:t>
            </w:r>
          </w:hyperlink>
          <w:r w:rsidRPr="007A1DAA">
            <w:rPr>
              <w:sz w:val="16"/>
              <w:szCs w:val="16"/>
            </w:rPr>
            <w:t>  </w:t>
          </w:r>
        </w:p>
      </w:tc>
    </w:tr>
  </w:tbl>
  <w:p w14:paraId="1ECA87A7" w14:textId="77777777" w:rsidR="005A5D86" w:rsidRDefault="005A5D86" w:rsidP="005A5D86">
    <w:pPr>
      <w:pStyle w:val="Footer"/>
    </w:pPr>
  </w:p>
  <w:p w14:paraId="5EBC4BC7" w14:textId="77777777" w:rsidR="005A5D86" w:rsidRDefault="005A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84E0" w14:textId="77777777" w:rsidR="001E637A" w:rsidRDefault="001E637A" w:rsidP="005A5D86">
      <w:pPr>
        <w:spacing w:after="0" w:line="240" w:lineRule="auto"/>
      </w:pPr>
      <w:r>
        <w:separator/>
      </w:r>
    </w:p>
  </w:footnote>
  <w:footnote w:type="continuationSeparator" w:id="0">
    <w:p w14:paraId="7A404A0F" w14:textId="77777777" w:rsidR="001E637A" w:rsidRDefault="001E637A" w:rsidP="005A5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86"/>
    <w:rsid w:val="0000534B"/>
    <w:rsid w:val="00016C48"/>
    <w:rsid w:val="00073E2A"/>
    <w:rsid w:val="000A053C"/>
    <w:rsid w:val="000A3E9E"/>
    <w:rsid w:val="000E0036"/>
    <w:rsid w:val="000E2E99"/>
    <w:rsid w:val="00103E6A"/>
    <w:rsid w:val="001755F5"/>
    <w:rsid w:val="001A74D0"/>
    <w:rsid w:val="001B70E7"/>
    <w:rsid w:val="001D1BB1"/>
    <w:rsid w:val="001D1DDE"/>
    <w:rsid w:val="001E1164"/>
    <w:rsid w:val="001E637A"/>
    <w:rsid w:val="002242CC"/>
    <w:rsid w:val="0026654E"/>
    <w:rsid w:val="002C597A"/>
    <w:rsid w:val="0034739F"/>
    <w:rsid w:val="00394D6A"/>
    <w:rsid w:val="003A406C"/>
    <w:rsid w:val="00441CA2"/>
    <w:rsid w:val="00471943"/>
    <w:rsid w:val="00480AE7"/>
    <w:rsid w:val="004A4FC9"/>
    <w:rsid w:val="005A5D86"/>
    <w:rsid w:val="005D58F8"/>
    <w:rsid w:val="0060140C"/>
    <w:rsid w:val="00661B69"/>
    <w:rsid w:val="006E06ED"/>
    <w:rsid w:val="006E5C90"/>
    <w:rsid w:val="00743FD7"/>
    <w:rsid w:val="00751884"/>
    <w:rsid w:val="00852F69"/>
    <w:rsid w:val="008625DB"/>
    <w:rsid w:val="008B5212"/>
    <w:rsid w:val="00925CE1"/>
    <w:rsid w:val="00927B6A"/>
    <w:rsid w:val="00935DB9"/>
    <w:rsid w:val="009B048A"/>
    <w:rsid w:val="009C2F64"/>
    <w:rsid w:val="009C7AC2"/>
    <w:rsid w:val="00A17CD5"/>
    <w:rsid w:val="00A310F5"/>
    <w:rsid w:val="00A32712"/>
    <w:rsid w:val="00A362D0"/>
    <w:rsid w:val="00A50692"/>
    <w:rsid w:val="00A85FE3"/>
    <w:rsid w:val="00A87B2F"/>
    <w:rsid w:val="00B03474"/>
    <w:rsid w:val="00B16A7B"/>
    <w:rsid w:val="00B71CC7"/>
    <w:rsid w:val="00BD0E48"/>
    <w:rsid w:val="00C92ECC"/>
    <w:rsid w:val="00CC30FD"/>
    <w:rsid w:val="00CD29E1"/>
    <w:rsid w:val="00CE3E3A"/>
    <w:rsid w:val="00D50DAF"/>
    <w:rsid w:val="00D5504D"/>
    <w:rsid w:val="00D73DC6"/>
    <w:rsid w:val="00E44B2D"/>
    <w:rsid w:val="00E67871"/>
    <w:rsid w:val="00E71C58"/>
    <w:rsid w:val="00E83967"/>
    <w:rsid w:val="00EB09A1"/>
    <w:rsid w:val="00EF5F7E"/>
    <w:rsid w:val="00EF6779"/>
    <w:rsid w:val="00F31B0F"/>
    <w:rsid w:val="00FC7BAD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8C7C8"/>
  <w15:chartTrackingRefBased/>
  <w15:docId w15:val="{3CA78BAA-0B78-4B02-A1A2-85E5C7C2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86"/>
  </w:style>
  <w:style w:type="paragraph" w:styleId="Heading1">
    <w:name w:val="heading 1"/>
    <w:basedOn w:val="Normal"/>
    <w:next w:val="Normal"/>
    <w:link w:val="Heading1Char"/>
    <w:uiPriority w:val="9"/>
    <w:qFormat/>
    <w:rsid w:val="005A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5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D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D8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D86"/>
  </w:style>
  <w:style w:type="paragraph" w:styleId="Footer">
    <w:name w:val="footer"/>
    <w:basedOn w:val="Normal"/>
    <w:link w:val="FooterChar"/>
    <w:uiPriority w:val="99"/>
    <w:unhideWhenUsed/>
    <w:rsid w:val="005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86"/>
  </w:style>
  <w:style w:type="paragraph" w:styleId="Revision">
    <w:name w:val="Revision"/>
    <w:hidden/>
    <w:uiPriority w:val="99"/>
    <w:semiHidden/>
    <w:rsid w:val="005D58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3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lvalhalc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alhalc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c16fc13-eed0-45a8-a4cd-092120207ca4}" enabled="0" method="" siteId="{ac16fc13-eed0-45a8-a4cd-092120207c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Podias</dc:creator>
  <cp:keywords/>
  <dc:description/>
  <cp:lastModifiedBy>Papadogianni, Erietta (Παπαδογιάννη Εριέττα)</cp:lastModifiedBy>
  <cp:revision>2</cp:revision>
  <dcterms:created xsi:type="dcterms:W3CDTF">2025-06-12T13:55:00Z</dcterms:created>
  <dcterms:modified xsi:type="dcterms:W3CDTF">2025-06-12T13:55:00Z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32660645-17fa-4c07-bb95-ecd45f0ed193</vt:lpwstr>
  </property>
</Properties>
</file>