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25C5" w14:textId="77777777" w:rsidR="00996757" w:rsidRDefault="00E24D0F">
      <w:pPr>
        <w:spacing w:after="160" w:line="256" w:lineRule="auto"/>
        <w:jc w:val="center"/>
        <w:rPr>
          <w:rFonts w:ascii="Arial" w:eastAsia="Arial" w:hAnsi="Arial" w:cs="Arial"/>
        </w:rPr>
      </w:pPr>
      <w:r>
        <w:rPr>
          <w:rFonts w:ascii="Arial" w:eastAsia="Arial" w:hAnsi="Arial" w:cs="Arial"/>
          <w:b/>
          <w:noProof/>
          <w:lang w:val="el-GR"/>
        </w:rPr>
        <w:drawing>
          <wp:inline distT="0" distB="0" distL="114300" distR="114300" wp14:anchorId="080CF93D" wp14:editId="74C26103">
            <wp:extent cx="6637020" cy="1065530"/>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37020" cy="1065530"/>
                    </a:xfrm>
                    <a:prstGeom prst="rect">
                      <a:avLst/>
                    </a:prstGeom>
                    <a:ln/>
                  </pic:spPr>
                </pic:pic>
              </a:graphicData>
            </a:graphic>
          </wp:inline>
        </w:drawing>
      </w:r>
    </w:p>
    <w:p w14:paraId="587CB175" w14:textId="77777777" w:rsidR="00996757" w:rsidRDefault="00996757">
      <w:pPr>
        <w:pBdr>
          <w:bottom w:val="single" w:sz="4" w:space="1" w:color="000000"/>
        </w:pBdr>
        <w:ind w:left="142"/>
        <w:jc w:val="center"/>
        <w:rPr>
          <w:rFonts w:ascii="Arial" w:eastAsia="Arial" w:hAnsi="Arial" w:cs="Arial"/>
          <w:sz w:val="48"/>
          <w:szCs w:val="48"/>
        </w:rPr>
      </w:pPr>
    </w:p>
    <w:p w14:paraId="13B021B0" w14:textId="77777777" w:rsidR="00996757" w:rsidRDefault="00996757" w:rsidP="001547EE">
      <w:pPr>
        <w:pBdr>
          <w:bottom w:val="single" w:sz="4" w:space="1" w:color="000000"/>
        </w:pBdr>
        <w:ind w:left="142"/>
        <w:jc w:val="center"/>
        <w:rPr>
          <w:rFonts w:ascii="Arial" w:eastAsia="Arial" w:hAnsi="Arial" w:cs="Arial"/>
          <w:b/>
          <w:sz w:val="28"/>
          <w:szCs w:val="28"/>
          <w:u w:val="single"/>
        </w:rPr>
      </w:pPr>
    </w:p>
    <w:p w14:paraId="670929E3" w14:textId="0E8C4174" w:rsidR="00996757" w:rsidRDefault="00BF2043" w:rsidP="001547EE">
      <w:pPr>
        <w:pBdr>
          <w:bottom w:val="single" w:sz="4" w:space="1" w:color="000000"/>
        </w:pBdr>
        <w:ind w:left="142"/>
        <w:jc w:val="center"/>
        <w:rPr>
          <w:rFonts w:ascii="Arial" w:eastAsia="Arial" w:hAnsi="Arial" w:cs="Arial"/>
          <w:sz w:val="28"/>
          <w:szCs w:val="28"/>
        </w:rPr>
      </w:pPr>
      <w:r w:rsidRPr="00BF2043">
        <w:rPr>
          <w:rFonts w:ascii="Arial" w:eastAsia="Arial" w:hAnsi="Arial" w:cs="Arial"/>
          <w:b/>
          <w:sz w:val="28"/>
          <w:szCs w:val="28"/>
        </w:rPr>
        <w:t xml:space="preserve">Η ΕΑΒ </w:t>
      </w:r>
      <w:r>
        <w:rPr>
          <w:rFonts w:ascii="Arial" w:eastAsia="Arial" w:hAnsi="Arial" w:cs="Arial"/>
          <w:b/>
          <w:sz w:val="28"/>
          <w:szCs w:val="28"/>
          <w:lang w:val="el-GR"/>
        </w:rPr>
        <w:t xml:space="preserve">και η </w:t>
      </w:r>
      <w:r w:rsidRPr="00BF2043">
        <w:rPr>
          <w:rFonts w:ascii="Arial" w:eastAsia="Arial" w:hAnsi="Arial" w:cs="Arial"/>
          <w:b/>
          <w:sz w:val="28"/>
          <w:szCs w:val="28"/>
        </w:rPr>
        <w:t>Lockheed Martin παρέδωσαν το 42ο F-16V – Συμπληρώθηκε το 50% του προγράμματος αναβάθμισης</w:t>
      </w:r>
      <w:r w:rsidR="00E24D0F">
        <w:rPr>
          <w:rFonts w:ascii="Arial" w:eastAsia="Arial" w:hAnsi="Arial" w:cs="Arial"/>
          <w:b/>
          <w:sz w:val="28"/>
          <w:szCs w:val="28"/>
        </w:rPr>
        <w:br/>
      </w:r>
    </w:p>
    <w:p w14:paraId="6598D835" w14:textId="77777777" w:rsidR="00996757" w:rsidRDefault="00996757">
      <w:pPr>
        <w:ind w:left="142"/>
        <w:rPr>
          <w:rFonts w:ascii="Arial" w:eastAsia="Arial" w:hAnsi="Arial" w:cs="Arial"/>
        </w:rPr>
      </w:pPr>
    </w:p>
    <w:p w14:paraId="33AB54ED" w14:textId="77777777" w:rsidR="00996757" w:rsidRDefault="00996757">
      <w:pPr>
        <w:ind w:left="142"/>
        <w:rPr>
          <w:rFonts w:ascii="Arial" w:eastAsia="Arial" w:hAnsi="Arial" w:cs="Arial"/>
        </w:rPr>
      </w:pPr>
    </w:p>
    <w:p w14:paraId="25DD0F40" w14:textId="0D5E9F51" w:rsidR="00985AED" w:rsidRPr="00985AED" w:rsidRDefault="00BF2043" w:rsidP="00985AED">
      <w:pPr>
        <w:ind w:left="142"/>
        <w:jc w:val="both"/>
        <w:rPr>
          <w:rFonts w:ascii="Arial" w:eastAsia="Arial" w:hAnsi="Arial" w:cs="Arial"/>
          <w:bCs/>
          <w:sz w:val="22"/>
          <w:szCs w:val="22"/>
        </w:rPr>
      </w:pPr>
      <w:r w:rsidRPr="00BF2043">
        <w:rPr>
          <w:rFonts w:ascii="Arial" w:eastAsia="Arial" w:hAnsi="Arial" w:cs="Arial"/>
          <w:bCs/>
          <w:sz w:val="22"/>
          <w:szCs w:val="22"/>
        </w:rPr>
        <w:t xml:space="preserve">ΑΘΗΝΑ, </w:t>
      </w:r>
      <w:r w:rsidR="001919FF" w:rsidRPr="001919FF">
        <w:rPr>
          <w:rFonts w:ascii="Arial" w:eastAsia="Arial" w:hAnsi="Arial" w:cs="Arial"/>
          <w:bCs/>
          <w:sz w:val="22"/>
          <w:szCs w:val="22"/>
          <w:lang w:val="el-GR"/>
        </w:rPr>
        <w:t>23</w:t>
      </w:r>
      <w:r w:rsidRPr="00BF2043">
        <w:rPr>
          <w:rFonts w:ascii="Arial" w:eastAsia="Arial" w:hAnsi="Arial" w:cs="Arial"/>
          <w:bCs/>
          <w:sz w:val="22"/>
          <w:szCs w:val="22"/>
        </w:rPr>
        <w:t xml:space="preserve"> Σεπτεμβρίου </w:t>
      </w:r>
      <w:r w:rsidR="00E105E9" w:rsidRPr="00E105E9">
        <w:rPr>
          <w:rFonts w:ascii="Arial" w:eastAsia="Arial" w:hAnsi="Arial" w:cs="Arial"/>
          <w:bCs/>
          <w:sz w:val="22"/>
          <w:szCs w:val="22"/>
          <w:lang w:val="el-GR"/>
        </w:rPr>
        <w:t xml:space="preserve">2025 </w:t>
      </w:r>
      <w:r w:rsidRPr="00BF2043">
        <w:rPr>
          <w:rFonts w:ascii="Arial" w:eastAsia="Arial" w:hAnsi="Arial" w:cs="Arial"/>
          <w:bCs/>
          <w:sz w:val="22"/>
          <w:szCs w:val="22"/>
        </w:rPr>
        <w:t xml:space="preserve">— </w:t>
      </w:r>
      <w:r w:rsidR="00985AED" w:rsidRPr="00985AED">
        <w:rPr>
          <w:rFonts w:ascii="Arial" w:eastAsia="Arial" w:hAnsi="Arial" w:cs="Arial"/>
          <w:bCs/>
          <w:sz w:val="22"/>
          <w:szCs w:val="22"/>
        </w:rPr>
        <w:t>Στην Πολεμική Αεροπορία παραδόθηκε το 42ο εκσυγχρονισμένο F-16V, σε συνεργασία της Lockheed Martin με την Ελληνική Αεροπορική Βιομηχανία (ΕΑΒ). Με την παράδοση αυτή συμπληρώθηκε το 50% του προγράμματος αναβάθμισης του στόλου, που αποτελεί κομβικό ορόσημο για την εξέλιξη του έργου.</w:t>
      </w:r>
    </w:p>
    <w:p w14:paraId="2C9EC4D8" w14:textId="77777777" w:rsidR="00985AED" w:rsidRPr="00985AED" w:rsidRDefault="00985AED" w:rsidP="00985AED">
      <w:pPr>
        <w:ind w:left="142"/>
        <w:jc w:val="both"/>
        <w:rPr>
          <w:rFonts w:ascii="Arial" w:eastAsia="Arial" w:hAnsi="Arial" w:cs="Arial"/>
          <w:bCs/>
          <w:sz w:val="22"/>
          <w:szCs w:val="22"/>
        </w:rPr>
      </w:pPr>
    </w:p>
    <w:p w14:paraId="61F26DF4" w14:textId="77777777" w:rsidR="00985AED" w:rsidRDefault="00985AED" w:rsidP="00985AED">
      <w:pPr>
        <w:ind w:left="142"/>
        <w:jc w:val="both"/>
        <w:rPr>
          <w:rFonts w:ascii="Arial" w:eastAsia="Arial" w:hAnsi="Arial" w:cs="Arial"/>
          <w:bCs/>
          <w:sz w:val="22"/>
          <w:szCs w:val="22"/>
          <w:lang w:val="el-GR"/>
        </w:rPr>
      </w:pPr>
      <w:r w:rsidRPr="00985AED">
        <w:rPr>
          <w:rFonts w:ascii="Arial" w:eastAsia="Arial" w:hAnsi="Arial" w:cs="Arial"/>
          <w:bCs/>
          <w:sz w:val="22"/>
          <w:szCs w:val="22"/>
        </w:rPr>
        <w:t>Οι παραδόσεις έχουν επιταχυνθεί τα τελευταία δύο χρόνια, χάρη στη στενή συνεργασία της ΕΑΒ, της Πολεμικής Αεροπορίας, της κυβέρνησης των ΗΠΑ και της Lockheed Martin.</w:t>
      </w:r>
    </w:p>
    <w:p w14:paraId="46BB4E72" w14:textId="77777777" w:rsidR="007407B9" w:rsidRDefault="007407B9" w:rsidP="00985AED">
      <w:pPr>
        <w:ind w:left="142"/>
        <w:jc w:val="both"/>
        <w:rPr>
          <w:rFonts w:ascii="Arial" w:eastAsia="Arial" w:hAnsi="Arial" w:cs="Arial"/>
          <w:bCs/>
          <w:sz w:val="22"/>
          <w:szCs w:val="22"/>
          <w:lang w:val="el-GR"/>
        </w:rPr>
      </w:pPr>
    </w:p>
    <w:p w14:paraId="0B200380" w14:textId="38B910FF" w:rsidR="00985AED" w:rsidRPr="00985AED" w:rsidRDefault="00985AED" w:rsidP="00985AED">
      <w:pPr>
        <w:ind w:left="142"/>
        <w:jc w:val="both"/>
        <w:rPr>
          <w:rFonts w:ascii="Arial" w:eastAsia="Arial" w:hAnsi="Arial" w:cs="Arial"/>
          <w:bCs/>
          <w:sz w:val="22"/>
          <w:szCs w:val="22"/>
          <w:lang w:val="el-GR"/>
        </w:rPr>
      </w:pPr>
      <w:r w:rsidRPr="00985AED">
        <w:rPr>
          <w:rFonts w:ascii="Arial" w:eastAsia="Arial" w:hAnsi="Arial" w:cs="Arial"/>
          <w:bCs/>
          <w:sz w:val="22"/>
          <w:szCs w:val="22"/>
        </w:rPr>
        <w:t>«Η</w:t>
      </w:r>
      <w:r w:rsidR="001919FF" w:rsidRPr="001919FF">
        <w:rPr>
          <w:rFonts w:ascii="Arial" w:eastAsia="Arial" w:hAnsi="Arial" w:cs="Arial"/>
          <w:bCs/>
          <w:sz w:val="22"/>
          <w:szCs w:val="22"/>
          <w:lang w:val="el-GR"/>
        </w:rPr>
        <w:t xml:space="preserve"> </w:t>
      </w:r>
      <w:r w:rsidRPr="00985AED">
        <w:rPr>
          <w:rFonts w:ascii="Arial" w:eastAsia="Arial" w:hAnsi="Arial" w:cs="Arial"/>
          <w:bCs/>
          <w:sz w:val="22"/>
          <w:szCs w:val="22"/>
        </w:rPr>
        <w:t>παράδοση</w:t>
      </w:r>
      <w:r w:rsidR="001919FF" w:rsidRPr="001919FF">
        <w:rPr>
          <w:rFonts w:ascii="Arial" w:eastAsia="Arial" w:hAnsi="Arial" w:cs="Arial"/>
          <w:bCs/>
          <w:sz w:val="22"/>
          <w:szCs w:val="22"/>
          <w:lang w:val="el-GR"/>
        </w:rPr>
        <w:t xml:space="preserve"> </w:t>
      </w:r>
      <w:r w:rsidR="001919FF" w:rsidRPr="00942F66">
        <w:rPr>
          <w:rFonts w:ascii="Arial" w:eastAsia="Arial" w:hAnsi="Arial" w:cs="Arial"/>
          <w:bCs/>
          <w:sz w:val="22"/>
          <w:szCs w:val="22"/>
          <w:lang w:val="el-GR"/>
        </w:rPr>
        <w:t>του 42ου F-16V</w:t>
      </w:r>
      <w:r w:rsidRPr="00985AED">
        <w:rPr>
          <w:rFonts w:ascii="Arial" w:eastAsia="Arial" w:hAnsi="Arial" w:cs="Arial"/>
          <w:bCs/>
          <w:sz w:val="22"/>
          <w:szCs w:val="22"/>
        </w:rPr>
        <w:t xml:space="preserve"> επιβεβαιώνει την ηγετική θέση της Ελλάδας στις συμμαχικές επιχειρήσεις και τη δέσμευσή μας να</w:t>
      </w:r>
      <w:r w:rsidR="0042386C" w:rsidRPr="0042386C">
        <w:rPr>
          <w:rFonts w:ascii="Arial" w:eastAsia="Arial" w:hAnsi="Arial" w:cs="Arial"/>
          <w:bCs/>
          <w:sz w:val="22"/>
          <w:szCs w:val="22"/>
          <w:lang w:val="el-GR"/>
        </w:rPr>
        <w:t xml:space="preserve"> </w:t>
      </w:r>
      <w:r w:rsidRPr="00985AED">
        <w:rPr>
          <w:rFonts w:ascii="Arial" w:eastAsia="Arial" w:hAnsi="Arial" w:cs="Arial"/>
          <w:bCs/>
          <w:sz w:val="22"/>
          <w:szCs w:val="22"/>
        </w:rPr>
        <w:t xml:space="preserve">στηρίζουμε την Πολεμική Αεροπορία με αξιόμαχες δυνατότητες», δήλωσε ο </w:t>
      </w:r>
      <w:proofErr w:type="spellStart"/>
      <w:r w:rsidRPr="00985AED">
        <w:rPr>
          <w:rFonts w:ascii="Arial" w:eastAsia="Arial" w:hAnsi="Arial" w:cs="Arial"/>
          <w:bCs/>
          <w:sz w:val="22"/>
          <w:szCs w:val="22"/>
        </w:rPr>
        <w:t>Mike</w:t>
      </w:r>
      <w:proofErr w:type="spellEnd"/>
      <w:r w:rsidRPr="00985AED">
        <w:rPr>
          <w:rFonts w:ascii="Arial" w:eastAsia="Arial" w:hAnsi="Arial" w:cs="Arial"/>
          <w:bCs/>
          <w:sz w:val="22"/>
          <w:szCs w:val="22"/>
        </w:rPr>
        <w:t xml:space="preserve"> </w:t>
      </w:r>
      <w:proofErr w:type="spellStart"/>
      <w:r w:rsidRPr="00985AED">
        <w:rPr>
          <w:rFonts w:ascii="Arial" w:eastAsia="Arial" w:hAnsi="Arial" w:cs="Arial"/>
          <w:bCs/>
          <w:sz w:val="22"/>
          <w:szCs w:val="22"/>
        </w:rPr>
        <w:t>Shoemaker</w:t>
      </w:r>
      <w:proofErr w:type="spellEnd"/>
      <w:r w:rsidRPr="00985AED">
        <w:rPr>
          <w:rFonts w:ascii="Arial" w:eastAsia="Arial" w:hAnsi="Arial" w:cs="Arial"/>
          <w:bCs/>
          <w:sz w:val="22"/>
          <w:szCs w:val="22"/>
        </w:rPr>
        <w:t>,</w:t>
      </w:r>
      <w:r w:rsidR="00603962" w:rsidRPr="00603962">
        <w:rPr>
          <w:rFonts w:ascii="Arial" w:eastAsia="Arial" w:hAnsi="Arial" w:cs="Arial"/>
          <w:bCs/>
          <w:sz w:val="22"/>
          <w:szCs w:val="22"/>
          <w:lang w:val="el-GR"/>
        </w:rPr>
        <w:t xml:space="preserve"> </w:t>
      </w:r>
      <w:r w:rsidRPr="00985AED">
        <w:rPr>
          <w:rFonts w:ascii="Arial" w:eastAsia="Arial" w:hAnsi="Arial" w:cs="Arial"/>
          <w:bCs/>
          <w:sz w:val="22"/>
          <w:szCs w:val="22"/>
        </w:rPr>
        <w:t xml:space="preserve">Αντιπρόεδρος του </w:t>
      </w:r>
      <w:proofErr w:type="spellStart"/>
      <w:r w:rsidRPr="00985AED">
        <w:rPr>
          <w:rFonts w:ascii="Arial" w:eastAsia="Arial" w:hAnsi="Arial" w:cs="Arial"/>
          <w:bCs/>
          <w:sz w:val="22"/>
          <w:szCs w:val="22"/>
        </w:rPr>
        <w:t>Integrated</w:t>
      </w:r>
      <w:proofErr w:type="spellEnd"/>
      <w:r w:rsidRPr="00985AED">
        <w:rPr>
          <w:rFonts w:ascii="Arial" w:eastAsia="Arial" w:hAnsi="Arial" w:cs="Arial"/>
          <w:bCs/>
          <w:sz w:val="22"/>
          <w:szCs w:val="22"/>
        </w:rPr>
        <w:t xml:space="preserve"> Fighter Group στη Lockheed Martin.</w:t>
      </w:r>
      <w:r w:rsidR="007407B9">
        <w:rPr>
          <w:rFonts w:ascii="Arial" w:eastAsia="Arial" w:hAnsi="Arial" w:cs="Arial"/>
          <w:bCs/>
          <w:sz w:val="22"/>
          <w:szCs w:val="22"/>
          <w:lang w:val="el-GR"/>
        </w:rPr>
        <w:t xml:space="preserve"> </w:t>
      </w:r>
      <w:r w:rsidRPr="00985AED">
        <w:rPr>
          <w:rFonts w:ascii="Arial" w:eastAsia="Arial" w:hAnsi="Arial" w:cs="Arial"/>
          <w:bCs/>
          <w:sz w:val="22"/>
          <w:szCs w:val="22"/>
        </w:rPr>
        <w:t>«Το F-16V ενισχύει τη διαλειτουργικότητα στο ΝΑΤΟ, βελτιώνει την επιχειρησιακή αποτελεσματικότητα και ενδυναμώνει τον ρόλο της Ελλάδας στην ασφάλεια της ευρύτερης περιοχής»</w:t>
      </w:r>
      <w:r>
        <w:rPr>
          <w:rFonts w:ascii="Arial" w:eastAsia="Arial" w:hAnsi="Arial" w:cs="Arial"/>
          <w:bCs/>
          <w:sz w:val="22"/>
          <w:szCs w:val="22"/>
          <w:lang w:val="el-GR"/>
        </w:rPr>
        <w:t>.</w:t>
      </w:r>
    </w:p>
    <w:p w14:paraId="6632F59A" w14:textId="77777777" w:rsidR="00985AED" w:rsidRPr="00985AED" w:rsidRDefault="00985AED" w:rsidP="00985AED">
      <w:pPr>
        <w:ind w:left="142"/>
        <w:jc w:val="both"/>
        <w:rPr>
          <w:rFonts w:ascii="Arial" w:eastAsia="Arial" w:hAnsi="Arial" w:cs="Arial"/>
          <w:bCs/>
          <w:sz w:val="22"/>
          <w:szCs w:val="22"/>
        </w:rPr>
      </w:pPr>
    </w:p>
    <w:p w14:paraId="0F292B98" w14:textId="5D1DA5C1" w:rsidR="00942F66" w:rsidRPr="007407B9" w:rsidRDefault="00942F66" w:rsidP="00E105E9">
      <w:pPr>
        <w:ind w:left="142"/>
        <w:jc w:val="both"/>
        <w:rPr>
          <w:rFonts w:ascii="Arial" w:eastAsia="Arial" w:hAnsi="Arial" w:cs="Arial"/>
          <w:bCs/>
          <w:sz w:val="22"/>
          <w:szCs w:val="22"/>
          <w:lang w:val="el-GR"/>
        </w:rPr>
      </w:pPr>
      <w:r w:rsidRPr="00942F66">
        <w:rPr>
          <w:rFonts w:ascii="Arial" w:eastAsia="Arial" w:hAnsi="Arial" w:cs="Arial"/>
          <w:bCs/>
          <w:sz w:val="22"/>
          <w:szCs w:val="22"/>
          <w:lang w:val="el-GR"/>
        </w:rPr>
        <w:t xml:space="preserve">«Με την παράδοση του 42ου F-16V </w:t>
      </w:r>
      <w:r>
        <w:rPr>
          <w:rFonts w:ascii="Arial" w:eastAsia="Arial" w:hAnsi="Arial" w:cs="Arial"/>
          <w:bCs/>
          <w:sz w:val="22"/>
          <w:szCs w:val="22"/>
          <w:lang w:val="el-GR"/>
        </w:rPr>
        <w:t xml:space="preserve">το πρόγραμμα </w:t>
      </w:r>
      <w:r w:rsidRPr="00942F66">
        <w:rPr>
          <w:rFonts w:ascii="Arial" w:eastAsia="Arial" w:hAnsi="Arial" w:cs="Arial"/>
          <w:bCs/>
          <w:sz w:val="22"/>
          <w:szCs w:val="22"/>
          <w:lang w:val="el-GR"/>
        </w:rPr>
        <w:t>διανύει το μέσον της διαδρομής», δήλωσε ο Αλέξανδρος Διακόπουλος, Πρόεδρος &amp; Διευθύνων Σύμβουλος της Ελληνικής Αεροπορικής Βιομηχανίας (ΕΑΒ).</w:t>
      </w:r>
      <w:r>
        <w:rPr>
          <w:rFonts w:ascii="Arial" w:eastAsia="Arial" w:hAnsi="Arial" w:cs="Arial"/>
          <w:bCs/>
          <w:sz w:val="22"/>
          <w:szCs w:val="22"/>
          <w:lang w:val="el-GR"/>
        </w:rPr>
        <w:t xml:space="preserve"> </w:t>
      </w:r>
      <w:r w:rsidRPr="00942F66">
        <w:rPr>
          <w:rFonts w:ascii="Arial" w:eastAsia="Arial" w:hAnsi="Arial" w:cs="Arial"/>
          <w:bCs/>
          <w:sz w:val="22"/>
          <w:szCs w:val="22"/>
          <w:lang w:val="el-GR"/>
        </w:rPr>
        <w:t>«Η εγχώρια προστιθέμενη αξία μένει στην Ελλάδα και μετατρέπεται σε ασφάλεια για το Αιγαίο, σε συνεργασία με την ΠΑ, την κυβέρνηση των ΗΠΑ και τη Lockheed Martin.</w:t>
      </w:r>
      <w:r>
        <w:rPr>
          <w:rFonts w:ascii="Arial" w:eastAsia="Arial" w:hAnsi="Arial" w:cs="Arial"/>
          <w:bCs/>
          <w:sz w:val="22"/>
          <w:szCs w:val="22"/>
          <w:lang w:val="el-GR"/>
        </w:rPr>
        <w:t xml:space="preserve"> </w:t>
      </w:r>
      <w:r w:rsidRPr="00942F66">
        <w:rPr>
          <w:rFonts w:ascii="Arial" w:eastAsia="Arial" w:hAnsi="Arial" w:cs="Arial"/>
          <w:bCs/>
          <w:sz w:val="22"/>
          <w:szCs w:val="22"/>
          <w:lang w:val="el-GR"/>
        </w:rPr>
        <w:t>Συνεχίζουμε με την ίδια δυναμική».</w:t>
      </w:r>
    </w:p>
    <w:p w14:paraId="53C11B69" w14:textId="77777777" w:rsidR="00E105E9" w:rsidRPr="00E105E9" w:rsidRDefault="00E105E9" w:rsidP="00985AED">
      <w:pPr>
        <w:ind w:left="142"/>
        <w:jc w:val="both"/>
        <w:rPr>
          <w:rFonts w:ascii="Arial" w:eastAsia="Arial" w:hAnsi="Arial" w:cs="Arial"/>
          <w:bCs/>
          <w:sz w:val="22"/>
          <w:szCs w:val="22"/>
          <w:lang w:val="el-GR"/>
        </w:rPr>
      </w:pPr>
    </w:p>
    <w:p w14:paraId="4C050650" w14:textId="64775D35" w:rsidR="00985AED" w:rsidRPr="00985AED" w:rsidRDefault="00985AED" w:rsidP="00985AED">
      <w:pPr>
        <w:ind w:left="142"/>
        <w:jc w:val="both"/>
        <w:rPr>
          <w:rFonts w:ascii="Arial" w:eastAsia="Arial" w:hAnsi="Arial" w:cs="Arial"/>
          <w:bCs/>
          <w:sz w:val="22"/>
          <w:szCs w:val="22"/>
        </w:rPr>
      </w:pPr>
      <w:r w:rsidRPr="00985AED">
        <w:rPr>
          <w:rFonts w:ascii="Arial" w:eastAsia="Arial" w:hAnsi="Arial" w:cs="Arial"/>
          <w:bCs/>
          <w:sz w:val="22"/>
          <w:szCs w:val="22"/>
        </w:rPr>
        <w:t>Το πρόγραμμα Viper εξοπλίζει τα ελληνικά F-16 με ραντάρ APG-83 AESA, προηγμένα συστήματα αποστολής, αναβαθμισμένες δυνατότητες ασφαλείας και εκσυγχρονισμένο πιλοτήριο. Οι εργασίες πραγματοποιούνται στην Ελλάδα με την υποστήριξη εξειδικευμένων ομάδων της Lockheed Martin.</w:t>
      </w:r>
    </w:p>
    <w:p w14:paraId="77CFFE14" w14:textId="77777777" w:rsidR="00985AED" w:rsidRPr="00985AED" w:rsidRDefault="00985AED" w:rsidP="00985AED">
      <w:pPr>
        <w:ind w:left="142"/>
        <w:jc w:val="both"/>
        <w:rPr>
          <w:rFonts w:ascii="Arial" w:eastAsia="Arial" w:hAnsi="Arial" w:cs="Arial"/>
          <w:bCs/>
          <w:sz w:val="22"/>
          <w:szCs w:val="22"/>
        </w:rPr>
      </w:pPr>
    </w:p>
    <w:p w14:paraId="251A0D3D" w14:textId="6F4249C1" w:rsidR="00996757" w:rsidRDefault="00985AED" w:rsidP="00985AED">
      <w:pPr>
        <w:ind w:left="142"/>
        <w:jc w:val="both"/>
        <w:rPr>
          <w:rFonts w:ascii="Arial" w:eastAsia="Arial" w:hAnsi="Arial" w:cs="Arial"/>
          <w:sz w:val="22"/>
          <w:szCs w:val="22"/>
        </w:rPr>
      </w:pPr>
      <w:r w:rsidRPr="00985AED">
        <w:rPr>
          <w:rFonts w:ascii="Arial" w:eastAsia="Arial" w:hAnsi="Arial" w:cs="Arial"/>
          <w:bCs/>
          <w:sz w:val="22"/>
          <w:szCs w:val="22"/>
        </w:rPr>
        <w:t>Το πρόγραμμα εκσυγχρονισμού των ελληνικών F-16, βάσει της σύμβασης, αφορά 84 αεροσκάφη (</w:t>
      </w:r>
      <w:r>
        <w:rPr>
          <w:rFonts w:ascii="Arial" w:eastAsia="Arial" w:hAnsi="Arial" w:cs="Arial"/>
          <w:bCs/>
          <w:sz w:val="22"/>
          <w:szCs w:val="22"/>
          <w:lang w:val="el-GR"/>
        </w:rPr>
        <w:t xml:space="preserve">σ.σ.: </w:t>
      </w:r>
      <w:r w:rsidRPr="00985AED">
        <w:rPr>
          <w:rFonts w:ascii="Arial" w:eastAsia="Arial" w:hAnsi="Arial" w:cs="Arial"/>
          <w:bCs/>
          <w:sz w:val="22"/>
          <w:szCs w:val="22"/>
        </w:rPr>
        <w:t>δύο εξ αυτών δεν είναι πλέον διαθέσιμα). Η Lockheed Martin έχει ήδη προσφέρει στην ελληνική οικονομία οφέλη άνω του 1 δισ. δολαρίων μέσα από πολυετείς βιομηχανικές συνεργασίες.</w:t>
      </w:r>
    </w:p>
    <w:p w14:paraId="737A9FEB" w14:textId="77777777" w:rsidR="00996757" w:rsidRDefault="00996757">
      <w:pPr>
        <w:rPr>
          <w:rFonts w:ascii="Arial" w:eastAsia="Arial" w:hAnsi="Arial" w:cs="Arial"/>
        </w:rPr>
      </w:pPr>
    </w:p>
    <w:p w14:paraId="4255F481" w14:textId="77777777" w:rsidR="00996757" w:rsidRDefault="00E24D0F">
      <w:pPr>
        <w:ind w:left="142"/>
        <w:jc w:val="both"/>
        <w:rPr>
          <w:rFonts w:ascii="Arial" w:eastAsia="Arial" w:hAnsi="Arial" w:cs="Arial"/>
          <w:b/>
          <w:sz w:val="22"/>
          <w:szCs w:val="22"/>
        </w:rPr>
      </w:pPr>
      <w:r>
        <w:rPr>
          <w:rFonts w:ascii="Arial" w:eastAsia="Arial" w:hAnsi="Arial" w:cs="Arial"/>
          <w:b/>
          <w:sz w:val="22"/>
          <w:szCs w:val="22"/>
        </w:rPr>
        <w:t>Σχετικά με τη Lockheed Martin</w:t>
      </w:r>
    </w:p>
    <w:p w14:paraId="7691D5B2" w14:textId="77777777" w:rsidR="00996757" w:rsidRDefault="00996757">
      <w:pPr>
        <w:ind w:left="142"/>
        <w:jc w:val="both"/>
        <w:rPr>
          <w:rFonts w:ascii="Arial" w:eastAsia="Arial" w:hAnsi="Arial" w:cs="Arial"/>
          <w:b/>
          <w:sz w:val="22"/>
          <w:szCs w:val="22"/>
        </w:rPr>
      </w:pPr>
    </w:p>
    <w:p w14:paraId="53C00FE3" w14:textId="77777777" w:rsidR="00996757" w:rsidRDefault="00E24D0F" w:rsidP="00480099">
      <w:pPr>
        <w:ind w:left="142"/>
        <w:jc w:val="both"/>
        <w:rPr>
          <w:rFonts w:ascii="Arial" w:eastAsia="Arial" w:hAnsi="Arial" w:cs="Arial"/>
          <w:sz w:val="22"/>
          <w:szCs w:val="22"/>
        </w:rPr>
      </w:pPr>
      <w:r>
        <w:rPr>
          <w:rFonts w:ascii="Arial" w:eastAsia="Arial" w:hAnsi="Arial" w:cs="Arial"/>
          <w:sz w:val="22"/>
          <w:szCs w:val="22"/>
        </w:rPr>
        <w:t xml:space="preserve">Η Lockheed Martin είναι μια παγκόσμια εταιρεία αμυντικής τεχνολογίας που προωθεί την καινοτομία και την επιστημονική ανακάλυψη. Οι λύσεις μας για αποστολές σε όλους τους τομείς και το όραμα μας για ασφάλεια του 21ου αιώνα (21st </w:t>
      </w:r>
      <w:proofErr w:type="spellStart"/>
      <w:r>
        <w:rPr>
          <w:rFonts w:ascii="Arial" w:eastAsia="Arial" w:hAnsi="Arial" w:cs="Arial"/>
          <w:sz w:val="22"/>
          <w:szCs w:val="22"/>
        </w:rPr>
        <w:t>Century</w:t>
      </w:r>
      <w:proofErr w:type="spellEnd"/>
      <w:r>
        <w:rPr>
          <w:rFonts w:ascii="Arial" w:eastAsia="Arial" w:hAnsi="Arial" w:cs="Arial"/>
          <w:sz w:val="22"/>
          <w:szCs w:val="22"/>
        </w:rPr>
        <w:t xml:space="preserve"> </w:t>
      </w:r>
      <w:proofErr w:type="spellStart"/>
      <w:r>
        <w:rPr>
          <w:rFonts w:ascii="Arial" w:eastAsia="Arial" w:hAnsi="Arial" w:cs="Arial"/>
          <w:sz w:val="22"/>
          <w:szCs w:val="22"/>
        </w:rPr>
        <w:t>Security</w:t>
      </w:r>
      <w:proofErr w:type="spellEnd"/>
      <w:r>
        <w:rPr>
          <w:rFonts w:ascii="Arial" w:eastAsia="Arial" w:hAnsi="Arial" w:cs="Arial"/>
          <w:sz w:val="22"/>
          <w:szCs w:val="22"/>
        </w:rPr>
        <w:t xml:space="preserve">®) επιταχύνουν την παράδοση μετασχηματιστικών τεχνολογιών </w:t>
      </w:r>
      <w:r>
        <w:rPr>
          <w:rFonts w:ascii="Arial" w:eastAsia="Arial" w:hAnsi="Arial" w:cs="Arial"/>
          <w:sz w:val="22"/>
          <w:szCs w:val="22"/>
        </w:rPr>
        <w:lastRenderedPageBreak/>
        <w:t>διασφαλίζοντας ότι αυτοί που υπηρετούμε να είναι πάντα με προβάδισμα έτοιμοι.</w:t>
      </w:r>
      <w:r w:rsidR="00C734F8">
        <w:rPr>
          <w:rFonts w:ascii="Arial" w:eastAsia="Arial" w:hAnsi="Arial" w:cs="Arial"/>
          <w:sz w:val="22"/>
          <w:szCs w:val="22"/>
          <w:lang w:val="el-GR"/>
        </w:rPr>
        <w:t xml:space="preserve"> </w:t>
      </w:r>
      <w:r>
        <w:rPr>
          <w:rFonts w:ascii="Arial" w:eastAsia="Arial" w:hAnsi="Arial" w:cs="Arial"/>
          <w:sz w:val="22"/>
          <w:szCs w:val="22"/>
        </w:rPr>
        <w:t>Περισσότερες πληροφορίες στο lockheedmartin.com.</w:t>
      </w:r>
    </w:p>
    <w:p w14:paraId="0A2E6BFB" w14:textId="77777777" w:rsidR="00996757" w:rsidRDefault="00996757">
      <w:pPr>
        <w:ind w:left="142"/>
        <w:jc w:val="both"/>
        <w:rPr>
          <w:rFonts w:ascii="Arial" w:eastAsia="Arial" w:hAnsi="Arial" w:cs="Arial"/>
        </w:rPr>
      </w:pPr>
    </w:p>
    <w:p w14:paraId="31F140F8" w14:textId="77777777" w:rsidR="00996757" w:rsidRDefault="00E24D0F">
      <w:pPr>
        <w:ind w:left="142"/>
        <w:jc w:val="both"/>
        <w:rPr>
          <w:rFonts w:ascii="Arial" w:eastAsia="Arial" w:hAnsi="Arial" w:cs="Arial"/>
          <w:sz w:val="22"/>
          <w:szCs w:val="22"/>
        </w:rPr>
      </w:pPr>
      <w:r>
        <w:rPr>
          <w:rFonts w:ascii="Arial" w:eastAsia="Arial" w:hAnsi="Arial" w:cs="Arial"/>
          <w:b/>
          <w:sz w:val="22"/>
          <w:szCs w:val="22"/>
        </w:rPr>
        <w:t>Σχετικά με την Ελληνική Αεροπορική Βιομηχανία (ΕΑΒ)</w:t>
      </w:r>
    </w:p>
    <w:p w14:paraId="0F563A32" w14:textId="77777777" w:rsidR="00996757" w:rsidRDefault="00996757">
      <w:pPr>
        <w:ind w:left="142"/>
        <w:jc w:val="both"/>
        <w:rPr>
          <w:rFonts w:ascii="Arial" w:eastAsia="Arial" w:hAnsi="Arial" w:cs="Arial"/>
          <w:sz w:val="22"/>
          <w:szCs w:val="22"/>
        </w:rPr>
      </w:pPr>
    </w:p>
    <w:p w14:paraId="7A034A4E" w14:textId="77777777" w:rsidR="00996757" w:rsidRDefault="00E24D0F">
      <w:pPr>
        <w:ind w:left="142"/>
        <w:jc w:val="both"/>
        <w:rPr>
          <w:rFonts w:ascii="Arial" w:eastAsia="Arial" w:hAnsi="Arial" w:cs="Arial"/>
          <w:sz w:val="22"/>
          <w:szCs w:val="22"/>
        </w:rPr>
      </w:pPr>
      <w:bookmarkStart w:id="0" w:name="_heading=h.qsb4rwnmbvxm" w:colFirst="0" w:colLast="0"/>
      <w:bookmarkEnd w:id="0"/>
      <w:r>
        <w:rPr>
          <w:rFonts w:ascii="Arial" w:eastAsia="Arial" w:hAnsi="Arial" w:cs="Arial"/>
          <w:sz w:val="22"/>
          <w:szCs w:val="22"/>
        </w:rPr>
        <w:t xml:space="preserve">Η Ελληνική Αεροπορική Βιομηχανία (ΕΑΒ), με έδρα την Τανάγρα, αποτελεί κορυφαίο βιομηχανικό φορέα της χώρας στον τομέα της άμυνας και της αεροδιαστημικής. Με μισό αιώνα τεχνογνωσίας, παρέχει ολοκληρωμένες λύσεις που καλύπτουν συντήρηση, επισκευή και εκσυγχρονισμό στρατιωτικών και πολιτικών αεροσκαφών, ανάπτυξη </w:t>
      </w:r>
      <w:proofErr w:type="spellStart"/>
      <w:r>
        <w:rPr>
          <w:rFonts w:ascii="Arial" w:eastAsia="Arial" w:hAnsi="Arial" w:cs="Arial"/>
          <w:sz w:val="22"/>
          <w:szCs w:val="22"/>
        </w:rPr>
        <w:t>UAVs</w:t>
      </w:r>
      <w:proofErr w:type="spellEnd"/>
      <w:r>
        <w:rPr>
          <w:rFonts w:ascii="Arial" w:eastAsia="Arial" w:hAnsi="Arial" w:cs="Arial"/>
          <w:sz w:val="22"/>
          <w:szCs w:val="22"/>
        </w:rPr>
        <w:t xml:space="preserve"> και προηγμένων αμυντικών συστημάτων, καθώς και συμμετοχή σε διεθνή αεροναυπηγικά και διαστημικά προγράμματα. Περισσότερες πληροφορίες στο </w:t>
      </w:r>
      <w:hyperlink r:id="rId8">
        <w:r>
          <w:rPr>
            <w:rFonts w:ascii="Arial" w:eastAsia="Arial" w:hAnsi="Arial" w:cs="Arial"/>
            <w:color w:val="0000FF"/>
            <w:sz w:val="22"/>
            <w:szCs w:val="22"/>
            <w:u w:val="single"/>
          </w:rPr>
          <w:t>https://haicorp.com</w:t>
        </w:r>
      </w:hyperlink>
      <w:r>
        <w:rPr>
          <w:rFonts w:ascii="Arial" w:eastAsia="Arial" w:hAnsi="Arial" w:cs="Arial"/>
          <w:sz w:val="22"/>
          <w:szCs w:val="22"/>
        </w:rPr>
        <w:t>.</w:t>
      </w:r>
    </w:p>
    <w:p w14:paraId="6B4690BD" w14:textId="77777777" w:rsidR="00996757" w:rsidRDefault="00996757">
      <w:pPr>
        <w:ind w:left="142"/>
        <w:jc w:val="both"/>
        <w:rPr>
          <w:rFonts w:ascii="Arial" w:eastAsia="Arial" w:hAnsi="Arial" w:cs="Arial"/>
          <w:sz w:val="22"/>
          <w:szCs w:val="22"/>
        </w:rPr>
      </w:pPr>
    </w:p>
    <w:p w14:paraId="0D2B8CFD" w14:textId="77777777" w:rsidR="00996757" w:rsidRDefault="00996757">
      <w:pPr>
        <w:ind w:left="142"/>
        <w:jc w:val="both"/>
        <w:rPr>
          <w:rFonts w:ascii="Arial" w:eastAsia="Arial" w:hAnsi="Arial" w:cs="Arial"/>
          <w:sz w:val="22"/>
          <w:szCs w:val="22"/>
        </w:rPr>
      </w:pPr>
    </w:p>
    <w:p w14:paraId="5ACC6FCB" w14:textId="77777777" w:rsidR="00996757" w:rsidRDefault="00996757">
      <w:pPr>
        <w:ind w:left="142"/>
        <w:rPr>
          <w:rFonts w:ascii="Arial" w:eastAsia="Arial" w:hAnsi="Arial" w:cs="Arial"/>
          <w:sz w:val="22"/>
          <w:szCs w:val="22"/>
        </w:rPr>
      </w:pPr>
    </w:p>
    <w:p w14:paraId="6FE9AD30" w14:textId="77777777" w:rsidR="00996757" w:rsidRDefault="00996757">
      <w:pPr>
        <w:rPr>
          <w:rFonts w:ascii="Arial" w:eastAsia="Arial" w:hAnsi="Arial" w:cs="Arial"/>
          <w:sz w:val="22"/>
          <w:szCs w:val="22"/>
        </w:rPr>
      </w:pPr>
    </w:p>
    <w:p w14:paraId="72A60099" w14:textId="77777777" w:rsidR="00996757" w:rsidRDefault="00996757">
      <w:pPr>
        <w:rPr>
          <w:rFonts w:ascii="Arial" w:eastAsia="Arial" w:hAnsi="Arial" w:cs="Arial"/>
          <w:sz w:val="22"/>
          <w:szCs w:val="22"/>
        </w:rPr>
      </w:pPr>
    </w:p>
    <w:p w14:paraId="6571D8A7" w14:textId="77777777" w:rsidR="00996757" w:rsidRDefault="00996757">
      <w:pPr>
        <w:rPr>
          <w:rFonts w:ascii="Arial" w:eastAsia="Arial" w:hAnsi="Arial" w:cs="Arial"/>
        </w:rPr>
      </w:pPr>
    </w:p>
    <w:p w14:paraId="5B916E3C" w14:textId="77777777" w:rsidR="00996757" w:rsidRDefault="00996757">
      <w:pPr>
        <w:rPr>
          <w:rFonts w:ascii="Arial" w:eastAsia="Arial" w:hAnsi="Arial" w:cs="Arial"/>
        </w:rPr>
      </w:pPr>
    </w:p>
    <w:p w14:paraId="753EDF64" w14:textId="77777777" w:rsidR="00996757" w:rsidRDefault="00E24D0F">
      <w:pPr>
        <w:rPr>
          <w:rFonts w:ascii="Arial" w:eastAsia="Arial" w:hAnsi="Arial" w:cs="Arial"/>
        </w:rPr>
      </w:pPr>
      <w:r>
        <w:rPr>
          <w:rFonts w:ascii="Arial" w:eastAsia="Arial" w:hAnsi="Arial" w:cs="Arial"/>
          <w:noProof/>
          <w:lang w:val="el-GR"/>
        </w:rPr>
        <w:drawing>
          <wp:inline distT="0" distB="0" distL="114300" distR="114300" wp14:anchorId="6010B7B5" wp14:editId="7C649243">
            <wp:extent cx="6637020" cy="1065530"/>
            <wp:effectExtent l="0" t="0" r="0" b="0"/>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637020" cy="1065530"/>
                    </a:xfrm>
                    <a:prstGeom prst="rect">
                      <a:avLst/>
                    </a:prstGeom>
                    <a:ln/>
                  </pic:spPr>
                </pic:pic>
              </a:graphicData>
            </a:graphic>
          </wp:inline>
        </w:drawing>
      </w:r>
    </w:p>
    <w:sectPr w:rsidR="00996757">
      <w:headerReference w:type="default" r:id="rId9"/>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4D2E0" w14:textId="77777777" w:rsidR="00263D80" w:rsidRDefault="00263D80">
      <w:r>
        <w:separator/>
      </w:r>
    </w:p>
  </w:endnote>
  <w:endnote w:type="continuationSeparator" w:id="0">
    <w:p w14:paraId="30FE0BAF" w14:textId="77777777" w:rsidR="00263D80" w:rsidRDefault="0026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47D3" w14:textId="0355A420" w:rsidR="00996757" w:rsidRDefault="00E24D0F">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105E9">
      <w:rPr>
        <w:rFonts w:ascii="Calibri" w:eastAsia="Calibri" w:hAnsi="Calibri" w:cs="Calibri"/>
        <w:noProof/>
        <w:color w:val="000000"/>
      </w:rPr>
      <w:t>2</w:t>
    </w:r>
    <w:r>
      <w:rPr>
        <w:rFonts w:ascii="Calibri" w:eastAsia="Calibri" w:hAnsi="Calibri" w:cs="Calibri"/>
        <w:color w:val="000000"/>
      </w:rPr>
      <w:fldChar w:fldCharType="end"/>
    </w:r>
  </w:p>
  <w:p w14:paraId="284B21B3" w14:textId="77777777" w:rsidR="00996757" w:rsidRDefault="00996757">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661CF" w14:textId="77777777" w:rsidR="00263D80" w:rsidRDefault="00263D80">
      <w:r>
        <w:separator/>
      </w:r>
    </w:p>
  </w:footnote>
  <w:footnote w:type="continuationSeparator" w:id="0">
    <w:p w14:paraId="5D093F0F" w14:textId="77777777" w:rsidR="00263D80" w:rsidRDefault="0026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DF35" w14:textId="77777777" w:rsidR="00996757" w:rsidRDefault="00E24D0F">
    <w:pPr>
      <w:pBdr>
        <w:top w:val="nil"/>
        <w:left w:val="nil"/>
        <w:bottom w:val="nil"/>
        <w:right w:val="nil"/>
        <w:between w:val="nil"/>
      </w:pBdr>
      <w:tabs>
        <w:tab w:val="center" w:pos="4153"/>
        <w:tab w:val="right" w:pos="8306"/>
      </w:tabs>
      <w:rPr>
        <w:color w:val="000000"/>
      </w:rPr>
    </w:pPr>
    <w:r>
      <w:rPr>
        <w:noProof/>
        <w:color w:val="000000"/>
        <w:lang w:val="el-GR"/>
      </w:rPr>
      <w:drawing>
        <wp:inline distT="0" distB="0" distL="114300" distR="114300" wp14:anchorId="25C8B19E" wp14:editId="1F52AF26">
          <wp:extent cx="6640830" cy="1414780"/>
          <wp:effectExtent l="0" t="0" r="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0830" cy="141478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57"/>
    <w:rsid w:val="00017330"/>
    <w:rsid w:val="000466E6"/>
    <w:rsid w:val="001547EE"/>
    <w:rsid w:val="001919FF"/>
    <w:rsid w:val="00263D80"/>
    <w:rsid w:val="002C032F"/>
    <w:rsid w:val="002F4D4A"/>
    <w:rsid w:val="003E59CC"/>
    <w:rsid w:val="0042386C"/>
    <w:rsid w:val="00480099"/>
    <w:rsid w:val="00585DD5"/>
    <w:rsid w:val="005919EE"/>
    <w:rsid w:val="00603962"/>
    <w:rsid w:val="006B3784"/>
    <w:rsid w:val="007407B9"/>
    <w:rsid w:val="007A52DE"/>
    <w:rsid w:val="007C457D"/>
    <w:rsid w:val="00847212"/>
    <w:rsid w:val="00942F66"/>
    <w:rsid w:val="00985AED"/>
    <w:rsid w:val="00996757"/>
    <w:rsid w:val="0099731D"/>
    <w:rsid w:val="00A525C0"/>
    <w:rsid w:val="00BF2043"/>
    <w:rsid w:val="00C734F8"/>
    <w:rsid w:val="00C83F81"/>
    <w:rsid w:val="00CE4BBD"/>
    <w:rsid w:val="00D4730E"/>
    <w:rsid w:val="00DB3FEF"/>
    <w:rsid w:val="00E105E9"/>
    <w:rsid w:val="00E24D0F"/>
    <w:rsid w:val="00E32F55"/>
    <w:rsid w:val="00EE1717"/>
    <w:rsid w:val="00F62B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A79E3"/>
  <w15:docId w15:val="{001933AF-DFA4-4EDD-93D8-0FF238D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customStyle="1" w:styleId="ColorfulList-Accent11">
    <w:name w:val="Colorful List - Accent 11"/>
    <w:basedOn w:val="Normal"/>
    <w:pPr>
      <w:suppressAutoHyphens/>
      <w:spacing w:after="200" w:line="276" w:lineRule="auto"/>
      <w:ind w:leftChars="-1" w:left="720" w:hangingChars="1" w:hanging="1"/>
      <w:textDirection w:val="btLr"/>
      <w:textAlignment w:val="top"/>
      <w:outlineLvl w:val="0"/>
    </w:pPr>
    <w:rPr>
      <w:rFonts w:ascii="Calibri" w:eastAsia="Calibri" w:hAnsi="Calibri"/>
      <w:position w:val="-1"/>
      <w:sz w:val="22"/>
      <w:szCs w:val="22"/>
      <w:lang w:val="el-GR"/>
    </w:rPr>
  </w:style>
  <w:style w:type="paragraph" w:styleId="Header">
    <w:name w:val="header"/>
    <w:basedOn w:val="Normal"/>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qFormat/>
    <w:pPr>
      <w:tabs>
        <w:tab w:val="center" w:pos="4153"/>
        <w:tab w:val="right" w:pos="8306"/>
      </w:tabs>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w w:val="100"/>
      <w:position w:val="-1"/>
      <w:sz w:val="24"/>
      <w:szCs w:val="24"/>
      <w:effect w:val="none"/>
      <w:vertAlign w:val="baseline"/>
      <w:cs w:val="0"/>
      <w:em w:val="none"/>
    </w:rPr>
  </w:style>
  <w:style w:type="paragraph" w:styleId="BodyTextIndent">
    <w:name w:val="Body Text Indent"/>
    <w:basedOn w:val="Normal"/>
    <w:pPr>
      <w:suppressAutoHyphens/>
      <w:spacing w:line="360" w:lineRule="auto"/>
      <w:ind w:leftChars="-1" w:left="75" w:hangingChars="1" w:hanging="1"/>
      <w:jc w:val="both"/>
      <w:textDirection w:val="btLr"/>
      <w:textAlignment w:val="top"/>
      <w:outlineLvl w:val="0"/>
    </w:pPr>
    <w:rPr>
      <w:rFonts w:ascii="Tahoma" w:eastAsia="Arial Unicode MS" w:hAnsi="Tahoma"/>
      <w:b/>
      <w:bCs/>
      <w:position w:val="-1"/>
      <w:sz w:val="20"/>
      <w:szCs w:val="20"/>
      <w:lang w:val="en-GB"/>
    </w:rPr>
  </w:style>
  <w:style w:type="character" w:customStyle="1" w:styleId="BodyTextIndentChar">
    <w:name w:val="Body Text Indent Char"/>
    <w:rPr>
      <w:rFonts w:ascii="Tahoma" w:eastAsia="Arial Unicode MS" w:hAnsi="Tahoma" w:cs="Tahoma"/>
      <w:b/>
      <w:bCs/>
      <w:w w:val="100"/>
      <w:position w:val="-1"/>
      <w:effect w:val="none"/>
      <w:vertAlign w:val="baseline"/>
      <w:cs w:val="0"/>
      <w:em w:val="none"/>
      <w:lang w:val="en-GB" w:eastAsia="en-US"/>
    </w:rPr>
  </w:style>
  <w:style w:type="character" w:customStyle="1" w:styleId="Heading1Char">
    <w:name w:val="Heading 1 Char"/>
    <w:rPr>
      <w:rFonts w:ascii="Arial" w:eastAsia="Arial Unicode MS" w:hAnsi="Arial" w:cs="Arial"/>
      <w:b/>
      <w:bCs/>
      <w:w w:val="100"/>
      <w:position w:val="-1"/>
      <w:sz w:val="24"/>
      <w:szCs w:val="24"/>
      <w:effect w:val="none"/>
      <w:vertAlign w:val="baseline"/>
      <w:cs w:val="0"/>
      <w:em w:val="none"/>
      <w:lang w:val="el-GR" w:eastAsia="en-US"/>
    </w:r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position w:val="-1"/>
      <w:sz w:val="16"/>
      <w:szCs w:val="16"/>
      <w:lang w:val="el-GR"/>
    </w:rPr>
  </w:style>
  <w:style w:type="character" w:customStyle="1" w:styleId="BalloonTextChar">
    <w:name w:val="Balloon Text Char"/>
    <w:rPr>
      <w:rFonts w:ascii="Tahoma" w:hAnsi="Tahoma" w:cs="Tahoma"/>
      <w:w w:val="100"/>
      <w:position w:val="-1"/>
      <w:sz w:val="16"/>
      <w:szCs w:val="16"/>
      <w:effect w:val="none"/>
      <w:vertAlign w:val="baseline"/>
      <w:cs w:val="0"/>
      <w:em w:val="none"/>
      <w:lang w:val="el-GR" w:eastAsia="el-GR"/>
    </w:rPr>
  </w:style>
  <w:style w:type="character" w:styleId="Hyperlink">
    <w:name w:val="Hyperlink"/>
    <w:qFormat/>
    <w:rPr>
      <w:color w:val="0000FF"/>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aicor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glHJ7SAJBnP0UtX4aPxv0vOag==">CgMxLjAyDmguMmk4dDc1ZjRsMHFiMg5oLnFzYjRyd25tYnZ4bTgAciExRk51aU5md1czQTZzdlNidXA5YzdpU2h3VFp1N0lGZUg=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468</Words>
  <Characters>2531</Characters>
  <Application>Microsoft Office Word</Application>
  <DocSecurity>0</DocSecurity>
  <Lines>21</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 Inc.</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KORONTZI Georgia</cp:lastModifiedBy>
  <cp:revision>9</cp:revision>
  <dcterms:created xsi:type="dcterms:W3CDTF">2025-09-10T06:18:00Z</dcterms:created>
  <dcterms:modified xsi:type="dcterms:W3CDTF">2025-09-23T08:59:00Z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c884d6-46ec-40ca-a4e4-d9a7c6a7c5c9_Enabled">
    <vt:lpwstr>true</vt:lpwstr>
  </property>
  <property fmtid="{D5CDD505-2E9C-101B-9397-08002B2CF9AE}" pid="3" name="MSIP_Label_aac884d6-46ec-40ca-a4e4-d9a7c6a7c5c9_SetDate">
    <vt:lpwstr>2025-08-29T14:02:19Z</vt:lpwstr>
  </property>
  <property fmtid="{D5CDD505-2E9C-101B-9397-08002B2CF9AE}" pid="4" name="MSIP_Label_aac884d6-46ec-40ca-a4e4-d9a7c6a7c5c9_Method">
    <vt:lpwstr>Privileged</vt:lpwstr>
  </property>
  <property fmtid="{D5CDD505-2E9C-101B-9397-08002B2CF9AE}" pid="5" name="MSIP_Label_aac884d6-46ec-40ca-a4e4-d9a7c6a7c5c9_Name">
    <vt:lpwstr>Unrestricted</vt:lpwstr>
  </property>
  <property fmtid="{D5CDD505-2E9C-101B-9397-08002B2CF9AE}" pid="6" name="MSIP_Label_aac884d6-46ec-40ca-a4e4-d9a7c6a7c5c9_SiteId">
    <vt:lpwstr>3465c5b6-dc75-4b16-8bc3-8e00d98d1b0d</vt:lpwstr>
  </property>
  <property fmtid="{D5CDD505-2E9C-101B-9397-08002B2CF9AE}" pid="7" name="MSIP_Label_aac884d6-46ec-40ca-a4e4-d9a7c6a7c5c9_ActionId">
    <vt:lpwstr>c2e06e34-dad2-4804-b2ef-8ced8485e8dd</vt:lpwstr>
  </property>
  <property fmtid="{D5CDD505-2E9C-101B-9397-08002B2CF9AE}" pid="8" name="MSIP_Label_aac884d6-46ec-40ca-a4e4-d9a7c6a7c5c9_ContentBits">
    <vt:lpwstr>0</vt:lpwstr>
  </property>
  <property fmtid="{D5CDD505-2E9C-101B-9397-08002B2CF9AE}" pid="9" name="MSIP_Label_aac884d6-46ec-40ca-a4e4-d9a7c6a7c5c9_Tag">
    <vt:lpwstr>10, 0, 1, 1</vt:lpwstr>
  </property>
</Properties>
</file>